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AABFC" w14:textId="77777777" w:rsidR="00485432" w:rsidRDefault="00485432" w:rsidP="00F879DA">
      <w:pPr>
        <w:shd w:val="clear" w:color="auto" w:fill="D9D9D9" w:themeFill="background1" w:themeFillShade="D9"/>
        <w:spacing w:before="240" w:after="240"/>
        <w:jc w:val="center"/>
        <w:rPr>
          <w:b/>
        </w:rPr>
      </w:pPr>
      <w:r w:rsidRPr="00485432">
        <w:rPr>
          <w:b/>
        </w:rPr>
        <w:t>TAMPLATE RPO WM 21-27</w:t>
      </w:r>
    </w:p>
    <w:p w14:paraId="66A4DBDB" w14:textId="102091E9" w:rsidR="00485432" w:rsidRPr="00485432" w:rsidRDefault="00485432" w:rsidP="00F879DA">
      <w:pPr>
        <w:shd w:val="clear" w:color="auto" w:fill="D9D9D9" w:themeFill="background1" w:themeFillShade="D9"/>
        <w:spacing w:before="240" w:after="240"/>
        <w:jc w:val="center"/>
        <w:rPr>
          <w:b/>
        </w:rPr>
      </w:pPr>
      <w:r>
        <w:rPr>
          <w:b/>
        </w:rPr>
        <w:t>CP</w:t>
      </w:r>
      <w:r w:rsidR="00237C9D">
        <w:rPr>
          <w:b/>
        </w:rPr>
        <w:t xml:space="preserve"> </w:t>
      </w:r>
      <w:r w:rsidR="00DC58EB">
        <w:rPr>
          <w:b/>
        </w:rPr>
        <w:t>3</w:t>
      </w:r>
    </w:p>
    <w:p w14:paraId="5D933D65" w14:textId="77777777" w:rsidR="00485432" w:rsidRPr="00485432" w:rsidRDefault="00B6314E" w:rsidP="00485432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i/>
          <w:iCs/>
          <w:noProof/>
          <w:szCs w:val="24"/>
        </w:rPr>
      </w:pPr>
      <w:r w:rsidRPr="00485432">
        <w:rPr>
          <w:b/>
          <w:noProof/>
        </w:rPr>
        <w:t>Strategia programu: główne wyzwania w zakresie rozwoju i odnośne rozwiązania polityczne</w:t>
      </w:r>
      <w:r w:rsidR="00485432" w:rsidRPr="00485432">
        <w:rPr>
          <w:b/>
          <w:noProof/>
        </w:rPr>
        <w:t xml:space="preserve">  </w:t>
      </w:r>
    </w:p>
    <w:p w14:paraId="26CA4001" w14:textId="5ADD01C6" w:rsidR="00004CF4" w:rsidRPr="007B2108" w:rsidRDefault="00B6314E" w:rsidP="007B2108">
      <w:pPr>
        <w:rPr>
          <w:i/>
          <w:noProof/>
        </w:rPr>
      </w:pPr>
      <w:r>
        <w:rPr>
          <w:i/>
          <w:noProof/>
        </w:rPr>
        <w:t>Podstawa prawna: art. 17 ust. 3 lit. a) ppkt (i)–(vii) i art. 17 ust. 3 lit. b)</w:t>
      </w:r>
    </w:p>
    <w:p w14:paraId="5FCEDF9C" w14:textId="2960494F" w:rsidR="00004CF4" w:rsidRDefault="00B6314E">
      <w:pPr>
        <w:spacing w:after="0"/>
        <w:rPr>
          <w:i/>
          <w:noProof/>
        </w:rPr>
      </w:pPr>
      <w:r>
        <w:rPr>
          <w:i/>
          <w:noProof/>
        </w:rPr>
        <w:t>W odniesieniu do celu „Zatrudnienie i wzrost”</w:t>
      </w:r>
    </w:p>
    <w:p w14:paraId="5D7FA827" w14:textId="77777777" w:rsidR="00004CF4" w:rsidRPr="004938C4" w:rsidRDefault="00004CF4">
      <w:pPr>
        <w:spacing w:after="0"/>
        <w:rPr>
          <w:rFonts w:eastAsia="Times New Roman"/>
          <w:i/>
          <w:noProof/>
          <w:color w:val="FF0000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67"/>
        <w:gridCol w:w="1597"/>
        <w:gridCol w:w="5898"/>
      </w:tblGrid>
      <w:tr w:rsidR="006B72A4" w14:paraId="38A62377" w14:textId="77777777">
        <w:tc>
          <w:tcPr>
            <w:tcW w:w="5000" w:type="pct"/>
            <w:gridSpan w:val="3"/>
          </w:tcPr>
          <w:p w14:paraId="0562C181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Tabela 1</w:t>
            </w:r>
          </w:p>
        </w:tc>
      </w:tr>
      <w:tr w:rsidR="006B72A4" w14:paraId="77F04045" w14:textId="77777777" w:rsidTr="00485432">
        <w:tc>
          <w:tcPr>
            <w:tcW w:w="865" w:type="pct"/>
          </w:tcPr>
          <w:p w14:paraId="58AB6F82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Cel polityki </w:t>
            </w:r>
          </w:p>
        </w:tc>
        <w:tc>
          <w:tcPr>
            <w:tcW w:w="881" w:type="pct"/>
          </w:tcPr>
          <w:p w14:paraId="43E1C1EA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Cel szczegółowy </w:t>
            </w:r>
          </w:p>
        </w:tc>
        <w:tc>
          <w:tcPr>
            <w:tcW w:w="3254" w:type="pct"/>
          </w:tcPr>
          <w:p w14:paraId="46D9193B" w14:textId="77777777" w:rsidR="006B72A4" w:rsidRDefault="00B6314E">
            <w:pPr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Uzasadnienie (streszczenie)</w:t>
            </w:r>
          </w:p>
          <w:p w14:paraId="61363731" w14:textId="72749CE3" w:rsidR="00B83328" w:rsidRDefault="00B83328">
            <w:pPr>
              <w:rPr>
                <w:rFonts w:eastAsia="Times New Roman"/>
                <w:b/>
                <w:iCs/>
                <w:noProof/>
                <w:sz w:val="20"/>
              </w:rPr>
            </w:pPr>
          </w:p>
        </w:tc>
      </w:tr>
      <w:tr w:rsidR="0031326C" w14:paraId="406B57B9" w14:textId="77777777" w:rsidTr="00485432">
        <w:tc>
          <w:tcPr>
            <w:tcW w:w="865" w:type="pct"/>
          </w:tcPr>
          <w:p w14:paraId="06717D9D" w14:textId="5B2FBBE1" w:rsidR="0031326C" w:rsidRDefault="0031326C" w:rsidP="0031326C">
            <w:pP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  <w:t>CP 3</w:t>
            </w:r>
          </w:p>
        </w:tc>
        <w:tc>
          <w:tcPr>
            <w:tcW w:w="881" w:type="pct"/>
          </w:tcPr>
          <w:p w14:paraId="4AECB139" w14:textId="5185827E" w:rsidR="0031326C" w:rsidRPr="00FA6E29" w:rsidRDefault="0031326C" w:rsidP="0031326C">
            <w:pPr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4A0028">
              <w:rPr>
                <w:rFonts w:ascii="Arial" w:eastAsia="Times New Roman" w:hAnsi="Arial" w:cs="Arial"/>
                <w:noProof/>
                <w:sz w:val="18"/>
                <w:szCs w:val="18"/>
              </w:rPr>
              <w:t>(iii) Rozwój zrównoważonej, inteligentnej i intermodalnej mobilności odpornej na zmianę klimatu na szczeblu krajowym, regionalnym i lokalnym, w tym poprawa dostępu do sieci TEN-T i mobilności transgranicznej</w:t>
            </w:r>
          </w:p>
        </w:tc>
        <w:tc>
          <w:tcPr>
            <w:tcW w:w="3254" w:type="pct"/>
          </w:tcPr>
          <w:p w14:paraId="5F539F8A" w14:textId="77777777" w:rsidR="002B04B9" w:rsidRPr="002B04B9" w:rsidRDefault="002B04B9" w:rsidP="002B04B9">
            <w:pPr>
              <w:rPr>
                <w:noProof/>
                <w:sz w:val="20"/>
              </w:rPr>
            </w:pPr>
            <w:r w:rsidRPr="002B04B9">
              <w:rPr>
                <w:noProof/>
                <w:sz w:val="20"/>
              </w:rPr>
              <w:t>Zgodnie z dokumentem Komisji Europejskiej: Sprawozdanie krajowe – Polska 2019, Wytyczne inwestycyjne dla Polski w zakresie finansowania polityki spójności na lata 2021–2027 siatkę połączeń transportowych, zwłaszcza w transeuropejskiej sieci transportowej (TEN-T) charakteryzują luki. Problemem są też niskie standardy w zakresie ochrony środowiska i bezpieczeństwa. Niniejsze potrzeby inwestycyjne określono jako wysoce priorytetowe w szczególności w celu:</w:t>
            </w:r>
          </w:p>
          <w:p w14:paraId="261C6C8B" w14:textId="77777777" w:rsidR="002B04B9" w:rsidRPr="002B04B9" w:rsidRDefault="002B04B9" w:rsidP="002B04B9">
            <w:pPr>
              <w:rPr>
                <w:noProof/>
                <w:sz w:val="20"/>
              </w:rPr>
            </w:pPr>
            <w:r w:rsidRPr="002B04B9">
              <w:rPr>
                <w:noProof/>
                <w:sz w:val="20"/>
              </w:rPr>
              <w:t>-wyeliminowania luk w kolejowej sieci TEN-T oraz wsparcia przejścia od transportu drogowego do kolejowego i innych zrównoważonych form transportu.</w:t>
            </w:r>
          </w:p>
          <w:p w14:paraId="2B7CCA31" w14:textId="77777777" w:rsidR="002B04B9" w:rsidRPr="002B04B9" w:rsidRDefault="002B04B9" w:rsidP="002B04B9">
            <w:pPr>
              <w:rPr>
                <w:noProof/>
                <w:sz w:val="20"/>
              </w:rPr>
            </w:pPr>
            <w:r w:rsidRPr="002B04B9">
              <w:rPr>
                <w:noProof/>
                <w:sz w:val="20"/>
              </w:rPr>
              <w:t>Jak wynika ze sprawozdana krajowego KE – Polska 2020 wysoki wzrost przewozów w transporcie drogowym ma wpływ na mniejszy udział przewozów kolejowych w transporcie towarów i osób. Modernizacja linii kolejowych postępuje w wolniejszym tempie niż rozwój dróg szybkiego ruchu. Niezadowalający stan techniczny infrastruktury kolejowej, ograniczenia przepustowości i przedłużające się remonty trakcji kolejowych prowadzą do częstych zakłóceń ruchu i ograniczeń operacyjnych pod względem szybkości, przepustowości i długości pociągu.</w:t>
            </w:r>
          </w:p>
          <w:p w14:paraId="6D658E64" w14:textId="485901C4" w:rsidR="002B04B9" w:rsidRPr="002B04B9" w:rsidRDefault="002B04B9" w:rsidP="002B04B9">
            <w:pPr>
              <w:rPr>
                <w:noProof/>
                <w:sz w:val="20"/>
              </w:rPr>
            </w:pPr>
            <w:r w:rsidRPr="002B04B9">
              <w:rPr>
                <w:noProof/>
                <w:sz w:val="20"/>
              </w:rPr>
              <w:t xml:space="preserve">Na terenie województwa eksploatowanych jest 1 704 km linii kolejowych normalnotorowych. Gęstość sieci kolejowej wynosiła 4,8 km/100km2, co plasowało Mazowsze na 13 miejscu wśród wszystkich województw w Polsce. W 2018 roku statystycznie każdy mieszkaniec kraju ponad 8 razy podróżował pociągiem. To wynik lepszy od lat ubiegłych, ale nadal poniżej średniej europejskiej wynoszącej 20 przejazdów rocznie. We Francji wskaźnik wynosi 21 razy w roku, Niemczech 35, a w Szwajcarii 69 razy do roku. Porównanie z innymi krajami pokazuje, jaki potencjał ma kolej. Najwyższy poziom wskaźnika wykorzystania kolei odnotowano w województwach pomorskim (24,8) i mazowieckim (18,2) poniżej średniej UE. Spółka Koleje Mazowieckie eksploatuje </w:t>
            </w:r>
            <w:r w:rsidR="008834D6">
              <w:rPr>
                <w:noProof/>
                <w:sz w:val="20"/>
              </w:rPr>
              <w:t>302</w:t>
            </w:r>
            <w:r w:rsidRPr="002B04B9">
              <w:rPr>
                <w:noProof/>
                <w:sz w:val="20"/>
              </w:rPr>
              <w:t xml:space="preserve"> pojazd</w:t>
            </w:r>
            <w:r w:rsidR="008834D6">
              <w:rPr>
                <w:noProof/>
                <w:sz w:val="20"/>
              </w:rPr>
              <w:t>y</w:t>
            </w:r>
            <w:r w:rsidRPr="002B04B9">
              <w:rPr>
                <w:noProof/>
                <w:sz w:val="20"/>
              </w:rPr>
              <w:t xml:space="preserve">, z czego </w:t>
            </w:r>
            <w:r w:rsidR="008834D6">
              <w:rPr>
                <w:noProof/>
                <w:sz w:val="20"/>
              </w:rPr>
              <w:t>ok 39%</w:t>
            </w:r>
            <w:r w:rsidRPr="002B04B9">
              <w:rPr>
                <w:noProof/>
                <w:sz w:val="20"/>
              </w:rPr>
              <w:t xml:space="preserve"> to pojazdy nowe</w:t>
            </w:r>
            <w:r w:rsidR="008834D6">
              <w:rPr>
                <w:noProof/>
                <w:sz w:val="20"/>
              </w:rPr>
              <w:t>, 61% to pojazdy zmodernizowane</w:t>
            </w:r>
            <w:r w:rsidRPr="002B04B9">
              <w:rPr>
                <w:noProof/>
                <w:sz w:val="20"/>
              </w:rPr>
              <w:t xml:space="preserve">. Tabor WKD to 21 szt. nowoczesnych pojazdów; w tym jeden z 2004 roku, 14 szt. z 2011-2012 roku oraz 6 szt. dostarczonych w 2016 roku. </w:t>
            </w:r>
          </w:p>
          <w:p w14:paraId="6C14954D" w14:textId="5FDD9131" w:rsidR="002B04B9" w:rsidRPr="002B04B9" w:rsidRDefault="002B04B9" w:rsidP="002B04B9">
            <w:pPr>
              <w:rPr>
                <w:noProof/>
                <w:sz w:val="20"/>
              </w:rPr>
            </w:pPr>
            <w:r w:rsidRPr="002B04B9">
              <w:rPr>
                <w:noProof/>
                <w:sz w:val="20"/>
              </w:rPr>
              <w:lastRenderedPageBreak/>
              <w:t>W ramach celów określonych w SRWM do 2030 roku oraz Strategii Rozwoju Transportu do 2020 (z perspektywą do 20</w:t>
            </w:r>
            <w:r w:rsidR="00C036C5">
              <w:rPr>
                <w:noProof/>
                <w:sz w:val="20"/>
              </w:rPr>
              <w:t>30 roku)  m.in. zidentyfikowano działania związane z </w:t>
            </w:r>
            <w:r w:rsidRPr="002B04B9">
              <w:rPr>
                <w:noProof/>
                <w:sz w:val="20"/>
              </w:rPr>
              <w:t>rozwojem kolejowego</w:t>
            </w:r>
            <w:r w:rsidR="00C036C5">
              <w:rPr>
                <w:noProof/>
                <w:sz w:val="20"/>
              </w:rPr>
              <w:t> </w:t>
            </w:r>
            <w:r w:rsidRPr="002B04B9">
              <w:rPr>
                <w:noProof/>
                <w:sz w:val="20"/>
              </w:rPr>
              <w:t>publicznego transportu zbiorowego. Dotyczą one.:</w:t>
            </w:r>
          </w:p>
          <w:p w14:paraId="6CB0984A" w14:textId="77777777" w:rsidR="002B04B9" w:rsidRPr="002B04B9" w:rsidRDefault="002B04B9" w:rsidP="002B04B9">
            <w:pPr>
              <w:rPr>
                <w:noProof/>
                <w:sz w:val="20"/>
              </w:rPr>
            </w:pPr>
            <w:r w:rsidRPr="002B04B9">
              <w:rPr>
                <w:noProof/>
                <w:sz w:val="20"/>
              </w:rPr>
              <w:t>- budowy zapleczy utrzymaniowo-naprawczych;</w:t>
            </w:r>
          </w:p>
          <w:p w14:paraId="4DCF4FAF" w14:textId="21E6EB90" w:rsidR="002B04B9" w:rsidRPr="002B04B9" w:rsidRDefault="002B04B9" w:rsidP="002B04B9">
            <w:pPr>
              <w:rPr>
                <w:noProof/>
                <w:sz w:val="20"/>
              </w:rPr>
            </w:pPr>
            <w:r w:rsidRPr="002B04B9">
              <w:rPr>
                <w:noProof/>
                <w:sz w:val="20"/>
              </w:rPr>
              <w:t>- modernizacj</w:t>
            </w:r>
            <w:r w:rsidR="008834D6">
              <w:rPr>
                <w:noProof/>
                <w:sz w:val="20"/>
              </w:rPr>
              <w:t>i</w:t>
            </w:r>
            <w:r w:rsidRPr="002B04B9">
              <w:rPr>
                <w:noProof/>
                <w:sz w:val="20"/>
              </w:rPr>
              <w:t xml:space="preserve"> infrastruktury kolejowej;</w:t>
            </w:r>
          </w:p>
          <w:p w14:paraId="2530CFB5" w14:textId="36935920" w:rsidR="002B04B9" w:rsidRPr="002B04B9" w:rsidRDefault="002B04B9" w:rsidP="002B04B9">
            <w:pPr>
              <w:rPr>
                <w:noProof/>
                <w:sz w:val="20"/>
              </w:rPr>
            </w:pPr>
            <w:r w:rsidRPr="002B04B9">
              <w:rPr>
                <w:noProof/>
                <w:sz w:val="20"/>
              </w:rPr>
              <w:t>- zakup</w:t>
            </w:r>
            <w:r w:rsidR="008834D6">
              <w:rPr>
                <w:noProof/>
                <w:sz w:val="20"/>
              </w:rPr>
              <w:t>u</w:t>
            </w:r>
            <w:r w:rsidRPr="002B04B9">
              <w:rPr>
                <w:noProof/>
                <w:sz w:val="20"/>
              </w:rPr>
              <w:t xml:space="preserve"> taboru.</w:t>
            </w:r>
          </w:p>
          <w:p w14:paraId="7557B298" w14:textId="5C9D1224" w:rsidR="00EA2032" w:rsidRDefault="002B04B9" w:rsidP="002B04B9">
            <w:pPr>
              <w:rPr>
                <w:noProof/>
                <w:sz w:val="20"/>
              </w:rPr>
            </w:pPr>
            <w:r w:rsidRPr="002B04B9">
              <w:rPr>
                <w:noProof/>
                <w:sz w:val="20"/>
              </w:rPr>
              <w:t>Wszystkie wyżej wskazane działania są ze sobą kompatybilne i mają zanaczenie w rozwoju publicznego transportu zbiorowego. Poza modernizacją infrastruktury, powinna następować sukcesywna wymiana taboru kolejowego, który powinien również mieć zapewnione zaplecze do jego obsługi i bieżącej naprawy. Działania w tych płaszczyznach spowodują zwiększenie częstotliwości i prędkości połączeń kolejowych oraz podniesienie standardu jakości świadczonych usług przewozowych.</w:t>
            </w:r>
          </w:p>
        </w:tc>
      </w:tr>
    </w:tbl>
    <w:p w14:paraId="471074DC" w14:textId="77777777" w:rsidR="006B72A4" w:rsidRDefault="00B6314E">
      <w:pPr>
        <w:spacing w:after="0"/>
        <w:rPr>
          <w:rFonts w:eastAsia="Times New Roman"/>
          <w:i/>
          <w:noProof/>
          <w:sz w:val="18"/>
          <w:szCs w:val="18"/>
        </w:rPr>
      </w:pPr>
      <w:r>
        <w:rPr>
          <w:i/>
          <w:noProof/>
          <w:sz w:val="18"/>
        </w:rPr>
        <w:lastRenderedPageBreak/>
        <w:t>*Odrębne priorytety zgodnie z rozporządzeniem w sprawie EFS+</w:t>
      </w:r>
    </w:p>
    <w:p w14:paraId="5D600738" w14:textId="77777777" w:rsidR="00004CF4" w:rsidRPr="00004CF4" w:rsidRDefault="00004CF4" w:rsidP="00004CF4">
      <w:pPr>
        <w:spacing w:before="240" w:after="240"/>
        <w:rPr>
          <w:rFonts w:eastAsia="Times New Roman"/>
          <w:b/>
          <w:noProof/>
          <w:szCs w:val="24"/>
        </w:rPr>
      </w:pPr>
    </w:p>
    <w:p w14:paraId="4801CD61" w14:textId="77777777" w:rsidR="006B72A4" w:rsidRDefault="00B6314E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noProof/>
          <w:szCs w:val="24"/>
        </w:rPr>
      </w:pPr>
      <w:r>
        <w:rPr>
          <w:b/>
          <w:noProof/>
        </w:rPr>
        <w:t>Priorytety inne niż pomoc techniczna</w:t>
      </w:r>
    </w:p>
    <w:p w14:paraId="0830DA82" w14:textId="77777777" w:rsidR="006B72A4" w:rsidRDefault="00B6314E">
      <w:pPr>
        <w:spacing w:before="240" w:after="240"/>
        <w:rPr>
          <w:rFonts w:eastAsia="Times New Roman"/>
          <w:i/>
          <w:noProof/>
          <w:szCs w:val="24"/>
        </w:rPr>
      </w:pPr>
      <w:r>
        <w:rPr>
          <w:i/>
          <w:noProof/>
        </w:rPr>
        <w:t>Podstawa prawna: art. 17 ust. 2 i art. 17 ust. 3 lit. c)</w:t>
      </w:r>
    </w:p>
    <w:p w14:paraId="553B5FA7" w14:textId="77777777" w:rsidR="00004CF4" w:rsidRDefault="00004CF4">
      <w:pPr>
        <w:spacing w:before="240" w:after="240"/>
        <w:rPr>
          <w:b/>
          <w:noProof/>
        </w:rPr>
      </w:pPr>
    </w:p>
    <w:p w14:paraId="3A4A93BC" w14:textId="40489B14" w:rsidR="00004CF4" w:rsidRPr="007B2108" w:rsidRDefault="00B6314E">
      <w:pPr>
        <w:spacing w:before="240" w:after="240"/>
        <w:rPr>
          <w:b/>
          <w:noProof/>
        </w:rPr>
      </w:pPr>
      <w:r>
        <w:rPr>
          <w:b/>
          <w:noProof/>
        </w:rPr>
        <w:t>Tabela 1 T: Struktura programu*</w:t>
      </w:r>
      <w:r w:rsidR="007B2108">
        <w:rPr>
          <w:b/>
          <w:noProof/>
        </w:rPr>
        <w:t xml:space="preserve"> </w:t>
      </w:r>
      <w:r w:rsidR="000E7BA4">
        <w:rPr>
          <w:b/>
          <w:noProof/>
        </w:rPr>
        <w:t xml:space="preserve"> </w:t>
      </w:r>
    </w:p>
    <w:p w14:paraId="5A125C47" w14:textId="017C89ED" w:rsidR="00030E6C" w:rsidRDefault="00B6314E">
      <w:pPr>
        <w:spacing w:before="240" w:after="240"/>
        <w:rPr>
          <w:noProof/>
        </w:rPr>
      </w:pPr>
      <w:r>
        <w:rPr>
          <w:b/>
          <w:noProof/>
        </w:rPr>
        <w:t>2.1 Tytuł priorytet</w:t>
      </w:r>
      <w:r w:rsidR="00485432">
        <w:rPr>
          <w:b/>
          <w:noProof/>
        </w:rPr>
        <w:t>u</w:t>
      </w:r>
      <w:r>
        <w:rPr>
          <w:b/>
          <w:noProof/>
        </w:rPr>
        <w:t xml:space="preserve"> [300] </w:t>
      </w:r>
      <w:r>
        <w:rPr>
          <w:noProof/>
        </w:rPr>
        <w:t>(należy powtórzyć dla każdego priorytetu)</w:t>
      </w:r>
      <w:r w:rsidR="00FB0F8C">
        <w:rPr>
          <w:noProof/>
        </w:rPr>
        <w:t xml:space="preserve"> </w:t>
      </w:r>
    </w:p>
    <w:p w14:paraId="0D6AE67D" w14:textId="2A85618F" w:rsidR="00030E6C" w:rsidRPr="00030E6C" w:rsidRDefault="00C12E16" w:rsidP="00D802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rPr>
          <w:rFonts w:ascii="Calibri" w:eastAsia="Times New Roman" w:hAnsi="Calibri" w:cs="Calibri"/>
          <w:b/>
          <w:bCs/>
          <w:color w:val="C00000"/>
          <w:szCs w:val="24"/>
          <w:lang w:bidi="ar-SA"/>
        </w:rPr>
      </w:pPr>
      <w:r>
        <w:rPr>
          <w:b/>
          <w:noProof/>
          <w:color w:val="000000"/>
          <w:sz w:val="22"/>
        </w:rPr>
        <w:t>Lepiej połączone Mazowsze dzięki zwiększeniu mobilności i udoskonaleniu regionalnych połączeń teleinformatycznych</w:t>
      </w:r>
    </w:p>
    <w:p w14:paraId="591902F4" w14:textId="77777777" w:rsidR="00004CF4" w:rsidRPr="00004CF4" w:rsidRDefault="00004CF4" w:rsidP="00004CF4">
      <w:pPr>
        <w:pStyle w:val="Akapitzlist"/>
        <w:spacing w:before="240" w:after="240"/>
        <w:ind w:left="862"/>
        <w:rPr>
          <w:noProof/>
        </w:rPr>
      </w:pPr>
    </w:p>
    <w:p w14:paraId="2F9337AA" w14:textId="0B411B55" w:rsidR="006B72A4" w:rsidRDefault="00B6314E" w:rsidP="001B2458">
      <w:pPr>
        <w:pStyle w:val="Akapitzlist"/>
        <w:numPr>
          <w:ilvl w:val="2"/>
          <w:numId w:val="1"/>
        </w:numPr>
        <w:spacing w:before="240" w:after="240"/>
        <w:rPr>
          <w:noProof/>
        </w:rPr>
      </w:pPr>
      <w:r w:rsidRPr="001B2458">
        <w:rPr>
          <w:b/>
          <w:noProof/>
        </w:rPr>
        <w:t>Cel szczegółowy</w:t>
      </w:r>
      <w:r>
        <w:rPr>
          <w:rStyle w:val="Odwoanieprzypisudolnego"/>
          <w:b/>
          <w:noProof/>
        </w:rPr>
        <w:footnoteReference w:id="1"/>
      </w:r>
      <w:r w:rsidRPr="001B2458">
        <w:rPr>
          <w:b/>
          <w:noProof/>
        </w:rPr>
        <w:t xml:space="preserve"> (cel „Zatrudnienie i wzrost”)</w:t>
      </w:r>
      <w:r w:rsidR="00485432">
        <w:rPr>
          <w:b/>
          <w:noProof/>
        </w:rPr>
        <w:t xml:space="preserve"> </w:t>
      </w:r>
      <w:r>
        <w:rPr>
          <w:noProof/>
        </w:rPr>
        <w:t xml:space="preserve">– </w:t>
      </w:r>
      <w:r w:rsidRPr="00EC4E06">
        <w:rPr>
          <w:b/>
          <w:noProof/>
          <w:u w:val="single"/>
        </w:rPr>
        <w:t xml:space="preserve">powtarzać </w:t>
      </w:r>
      <w:r w:rsidR="00EC4E06" w:rsidRPr="00EC4E06">
        <w:rPr>
          <w:b/>
          <w:noProof/>
          <w:u w:val="single"/>
        </w:rPr>
        <w:t xml:space="preserve">- </w:t>
      </w:r>
      <w:r w:rsidRPr="00EC4E06">
        <w:rPr>
          <w:b/>
          <w:noProof/>
          <w:u w:val="single"/>
        </w:rPr>
        <w:t>w odniesieniu do każdego wybranego celu szczegółowego</w:t>
      </w:r>
      <w:r>
        <w:rPr>
          <w:noProof/>
        </w:rPr>
        <w:t xml:space="preserve"> lub obszaru wsparcia, do priorytetów innych niż pomoc techniczna</w:t>
      </w:r>
      <w:r w:rsidR="00527BE4">
        <w:rPr>
          <w:noProof/>
        </w:rPr>
        <w:t xml:space="preserve"> 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062B23" w14:paraId="706BF61C" w14:textId="77777777" w:rsidTr="00062B23">
        <w:tc>
          <w:tcPr>
            <w:tcW w:w="9062" w:type="dxa"/>
          </w:tcPr>
          <w:p w14:paraId="6218E73D" w14:textId="4759C55B" w:rsidR="00062B23" w:rsidRPr="00527BE4" w:rsidRDefault="00062B23" w:rsidP="00062B23">
            <w:pPr>
              <w:spacing w:before="240" w:after="240"/>
              <w:rPr>
                <w:b/>
                <w:noProof/>
              </w:rPr>
            </w:pPr>
            <w:r w:rsidRPr="00527BE4">
              <w:rPr>
                <w:b/>
                <w:noProof/>
              </w:rPr>
              <w:t>Rozwój zrównoważonej, inteligentnej i intermodalnej mobilności odpornej na zmianę klimatu na szczeblu krajowym, regionalnym i lokalnym, w tym poprawa dostępu do sieci TEN-T i mobilności transgranicznej</w:t>
            </w:r>
          </w:p>
        </w:tc>
      </w:tr>
    </w:tbl>
    <w:p w14:paraId="3779E475" w14:textId="77777777" w:rsidR="00004CF4" w:rsidRDefault="00004CF4">
      <w:pPr>
        <w:spacing w:before="240" w:after="240"/>
        <w:rPr>
          <w:b/>
          <w:noProof/>
        </w:rPr>
      </w:pPr>
    </w:p>
    <w:p w14:paraId="5A3E3DE9" w14:textId="10BA6F7F" w:rsidR="006B72A4" w:rsidRDefault="00B6314E">
      <w:pPr>
        <w:spacing w:before="240" w:after="240"/>
        <w:rPr>
          <w:rFonts w:eastAsia="Times New Roman"/>
          <w:b/>
          <w:iCs/>
          <w:noProof/>
          <w:szCs w:val="24"/>
        </w:rPr>
      </w:pPr>
      <w:r>
        <w:rPr>
          <w:b/>
          <w:noProof/>
        </w:rPr>
        <w:t>2.1.1.1 Interwencje w ramach funduszy</w:t>
      </w:r>
      <w:r w:rsidR="007B2108">
        <w:rPr>
          <w:b/>
          <w:noProof/>
        </w:rPr>
        <w:t xml:space="preserve"> </w:t>
      </w:r>
    </w:p>
    <w:p w14:paraId="41627009" w14:textId="47B1C4EA" w:rsidR="00527BE4" w:rsidRDefault="00B6314E">
      <w:pPr>
        <w:rPr>
          <w:i/>
          <w:noProof/>
        </w:rPr>
      </w:pPr>
      <w:r>
        <w:rPr>
          <w:i/>
          <w:noProof/>
        </w:rPr>
        <w:lastRenderedPageBreak/>
        <w:t>Podstawa prawna: art. 17 ust. 3 lit. d) ppkt (i), (iii), (iv), (v), (vi);</w:t>
      </w:r>
    </w:p>
    <w:p w14:paraId="5B125FDE" w14:textId="2B498AE1" w:rsidR="0043453C" w:rsidRPr="007B2108" w:rsidRDefault="00B6314E" w:rsidP="007B2108">
      <w:pPr>
        <w:rPr>
          <w:i/>
          <w:noProof/>
        </w:rPr>
      </w:pPr>
      <w:r>
        <w:rPr>
          <w:i/>
          <w:noProof/>
        </w:rPr>
        <w:t>Powiązane rodzaje działań – art. 17 ust. 3 lit. d) ppkt (i):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B72A4" w14:paraId="362530A3" w14:textId="77777777" w:rsidTr="00485432">
        <w:tc>
          <w:tcPr>
            <w:tcW w:w="9062" w:type="dxa"/>
          </w:tcPr>
          <w:p w14:paraId="284EF474" w14:textId="77777777" w:rsidR="0031326C" w:rsidRPr="00A86611" w:rsidRDefault="0031326C" w:rsidP="0031326C">
            <w:pPr>
              <w:spacing w:after="0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A86611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W ramach celu szczegółowego 3</w:t>
            </w:r>
            <w:r w:rsidRPr="00A86611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A86611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(iii) Rozwój zrównoważonej, inteligentnej i intermodalnej mobilności odpornej na zmianę klimatu na szczeblu krajowym, regionalnym i lokalnym, w tym poprawa dostępu do sieci TEN-T i mobilności transgranicznej, w szczególności, następujący typ projektów:</w:t>
            </w:r>
          </w:p>
          <w:p w14:paraId="7804BCAF" w14:textId="06180446" w:rsidR="0031326C" w:rsidRDefault="00BC018C" w:rsidP="0031326C">
            <w:pPr>
              <w:spacing w:after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bookmarkStart w:id="0" w:name="_Hlk44405483"/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- l</w:t>
            </w:r>
            <w:r w:rsidR="0031326C" w:rsidRPr="00A86611">
              <w:rPr>
                <w:rFonts w:asciiTheme="minorHAnsi" w:hAnsiTheme="minorHAnsi" w:cstheme="minorHAnsi"/>
                <w:color w:val="000000" w:themeColor="text1"/>
                <w:sz w:val="20"/>
              </w:rPr>
              <w:t>inie kole</w:t>
            </w:r>
            <w:r w:rsidR="002B04B9">
              <w:rPr>
                <w:rFonts w:asciiTheme="minorHAnsi" w:hAnsiTheme="minorHAnsi" w:cstheme="minorHAnsi"/>
                <w:color w:val="000000" w:themeColor="text1"/>
                <w:sz w:val="20"/>
              </w:rPr>
              <w:t>jowe - budowa lub modernizacja,</w:t>
            </w:r>
          </w:p>
          <w:p w14:paraId="68C78EC4" w14:textId="156A4E5A" w:rsidR="0031326C" w:rsidRPr="00A86611" w:rsidRDefault="00BC018C" w:rsidP="0031326C">
            <w:pPr>
              <w:spacing w:after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- t</w:t>
            </w:r>
            <w:r w:rsidR="0031326C" w:rsidRPr="00A86611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abor kolejowy - </w:t>
            </w:r>
            <w:r w:rsidR="004605B3">
              <w:rPr>
                <w:rFonts w:asciiTheme="minorHAnsi" w:hAnsiTheme="minorHAnsi" w:cstheme="minorHAnsi"/>
                <w:color w:val="000000" w:themeColor="text1"/>
                <w:sz w:val="20"/>
              </w:rPr>
              <w:t>zakup</w:t>
            </w:r>
            <w:r w:rsidR="004605B3" w:rsidRPr="00A86611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="0031326C" w:rsidRPr="00A86611">
              <w:rPr>
                <w:rFonts w:asciiTheme="minorHAnsi" w:hAnsiTheme="minorHAnsi" w:cstheme="minorHAnsi"/>
                <w:color w:val="000000" w:themeColor="text1"/>
                <w:sz w:val="20"/>
              </w:rPr>
              <w:t>lub modernizacja</w:t>
            </w:r>
            <w:r w:rsidR="00BE735E">
              <w:rPr>
                <w:rFonts w:asciiTheme="minorHAnsi" w:hAnsiTheme="minorHAnsi" w:cstheme="minorHAnsi"/>
                <w:color w:val="000000" w:themeColor="text1"/>
                <w:sz w:val="20"/>
              </w:rPr>
              <w:t>,</w:t>
            </w:r>
          </w:p>
          <w:p w14:paraId="57A3B833" w14:textId="3CC13200" w:rsidR="00D06D6A" w:rsidRPr="00A86611" w:rsidRDefault="00BC018C" w:rsidP="0031326C">
            <w:pPr>
              <w:spacing w:after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- </w:t>
            </w:r>
            <w:r w:rsidR="004605B3" w:rsidRPr="004605B3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budowa zapleczy </w:t>
            </w:r>
            <w:r w:rsidR="009C3169" w:rsidRPr="004605B3">
              <w:rPr>
                <w:rFonts w:asciiTheme="minorHAnsi" w:hAnsiTheme="minorHAnsi" w:cstheme="minorHAnsi"/>
                <w:color w:val="000000" w:themeColor="text1"/>
                <w:sz w:val="20"/>
              </w:rPr>
              <w:t>utrzymaniowo-naprawczych</w:t>
            </w:r>
            <w:r w:rsidR="00D06D6A">
              <w:rPr>
                <w:rFonts w:asciiTheme="minorHAnsi" w:hAnsiTheme="minorHAnsi" w:cstheme="minorHAnsi"/>
                <w:color w:val="000000" w:themeColor="text1"/>
                <w:sz w:val="20"/>
              </w:rPr>
              <w:t>.</w:t>
            </w:r>
          </w:p>
          <w:bookmarkEnd w:id="0"/>
          <w:p w14:paraId="4BBE03DF" w14:textId="5AA803C3" w:rsidR="0031326C" w:rsidRPr="00A86611" w:rsidRDefault="0031326C" w:rsidP="0031326C">
            <w:pPr>
              <w:spacing w:after="0"/>
              <w:rPr>
                <w:rFonts w:asciiTheme="minorHAnsi" w:hAnsiTheme="minorHAnsi" w:cstheme="minorHAnsi"/>
                <w:sz w:val="20"/>
              </w:rPr>
            </w:pPr>
            <w:r w:rsidRPr="0093620A">
              <w:rPr>
                <w:rFonts w:asciiTheme="minorHAnsi" w:hAnsiTheme="minorHAnsi" w:cstheme="minorHAnsi"/>
                <w:sz w:val="20"/>
              </w:rPr>
              <w:t>Rozwój transportu kolejowego będzie miał kluczowe znacz</w:t>
            </w:r>
            <w:r>
              <w:rPr>
                <w:rFonts w:asciiTheme="minorHAnsi" w:hAnsiTheme="minorHAnsi" w:cstheme="minorHAnsi"/>
                <w:sz w:val="20"/>
              </w:rPr>
              <w:t xml:space="preserve">enie w skali regionu. Potencjał </w:t>
            </w:r>
            <w:r w:rsidRPr="0093620A">
              <w:rPr>
                <w:rFonts w:asciiTheme="minorHAnsi" w:hAnsiTheme="minorHAnsi" w:cstheme="minorHAnsi"/>
                <w:sz w:val="20"/>
              </w:rPr>
              <w:t xml:space="preserve">tej gałęzi powinien zostać zwiększony poprzez modernizację i rozbudowę infrastruktury </w:t>
            </w:r>
            <w:r>
              <w:rPr>
                <w:rFonts w:asciiTheme="minorHAnsi" w:hAnsiTheme="minorHAnsi" w:cstheme="minorHAnsi"/>
                <w:sz w:val="20"/>
              </w:rPr>
              <w:t xml:space="preserve">liniowej </w:t>
            </w:r>
            <w:r w:rsidRPr="0093620A">
              <w:rPr>
                <w:rFonts w:asciiTheme="minorHAnsi" w:hAnsiTheme="minorHAnsi" w:cstheme="minorHAnsi"/>
                <w:sz w:val="20"/>
              </w:rPr>
              <w:t>oraz poprawę standardów jej utrzymania</w:t>
            </w:r>
            <w:r>
              <w:rPr>
                <w:rFonts w:asciiTheme="minorHAnsi" w:hAnsiTheme="minorHAnsi" w:cstheme="minorHAnsi"/>
                <w:sz w:val="20"/>
              </w:rPr>
              <w:t xml:space="preserve"> a także </w:t>
            </w:r>
            <w:r w:rsidR="001F39AF">
              <w:rPr>
                <w:rFonts w:asciiTheme="minorHAnsi" w:hAnsiTheme="minorHAnsi" w:cstheme="minorHAnsi"/>
                <w:sz w:val="20"/>
              </w:rPr>
              <w:t>poprzez budowę</w:t>
            </w:r>
            <w:r w:rsidRPr="00B669AA">
              <w:rPr>
                <w:rFonts w:asciiTheme="minorHAnsi" w:hAnsiTheme="minorHAnsi" w:cstheme="minorHAnsi"/>
                <w:sz w:val="20"/>
              </w:rPr>
              <w:t xml:space="preserve"> zapleczy utrzymaniowo-naprawczych do bieżącej obsługi technicznej pojazdów szynowych</w:t>
            </w:r>
            <w:r w:rsidRPr="0093620A">
              <w:rPr>
                <w:rFonts w:asciiTheme="minorHAnsi" w:hAnsiTheme="minorHAnsi" w:cstheme="minorHAnsi"/>
                <w:sz w:val="20"/>
              </w:rPr>
              <w:t>. Działaniami naprawczymi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93620A">
              <w:rPr>
                <w:rFonts w:asciiTheme="minorHAnsi" w:hAnsiTheme="minorHAnsi" w:cstheme="minorHAnsi"/>
                <w:sz w:val="20"/>
              </w:rPr>
              <w:t>należy objąć wymagające renowacji linie o znaczeniu loka</w:t>
            </w:r>
            <w:r>
              <w:rPr>
                <w:rFonts w:asciiTheme="minorHAnsi" w:hAnsiTheme="minorHAnsi" w:cstheme="minorHAnsi"/>
                <w:sz w:val="20"/>
              </w:rPr>
              <w:t xml:space="preserve">lnym i regionalnym, co umożliwi </w:t>
            </w:r>
            <w:r w:rsidRPr="0093620A">
              <w:rPr>
                <w:rFonts w:asciiTheme="minorHAnsi" w:hAnsiTheme="minorHAnsi" w:cstheme="minorHAnsi"/>
                <w:sz w:val="20"/>
              </w:rPr>
              <w:t>rozwój spójnej sieci przewozów kolejowych.</w:t>
            </w:r>
            <w:r w:rsidR="00D06D6A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677C6C26" w14:textId="0A9D6FD3" w:rsidR="002B04B9" w:rsidRDefault="002B04B9" w:rsidP="002B04B9">
            <w:pPr>
              <w:spacing w:after="0"/>
              <w:rPr>
                <w:rFonts w:asciiTheme="minorHAnsi" w:hAnsiTheme="minorHAnsi" w:cstheme="minorHAnsi"/>
                <w:sz w:val="20"/>
              </w:rPr>
            </w:pPr>
            <w:r w:rsidRPr="007602E7">
              <w:rPr>
                <w:rFonts w:asciiTheme="minorHAnsi" w:hAnsiTheme="minorHAnsi" w:cstheme="minorHAnsi"/>
                <w:sz w:val="20"/>
              </w:rPr>
              <w:t xml:space="preserve">Należy podkreślić, że przedstawiany zakres wsparcia warunkowany jest realizacją w ramach programu zarządzanego z poziomu krajowego kluczowych dla rozwoju Województwa </w:t>
            </w:r>
            <w:r>
              <w:rPr>
                <w:rFonts w:asciiTheme="minorHAnsi" w:hAnsiTheme="minorHAnsi" w:cstheme="minorHAnsi"/>
                <w:sz w:val="20"/>
              </w:rPr>
              <w:t>M</w:t>
            </w:r>
            <w:r w:rsidRPr="007602E7">
              <w:rPr>
                <w:rFonts w:asciiTheme="minorHAnsi" w:hAnsiTheme="minorHAnsi" w:cstheme="minorHAnsi"/>
                <w:sz w:val="20"/>
              </w:rPr>
              <w:t>azowieckiego</w:t>
            </w:r>
            <w:r>
              <w:rPr>
                <w:rFonts w:asciiTheme="minorHAnsi" w:hAnsiTheme="minorHAnsi" w:cstheme="minorHAnsi"/>
                <w:sz w:val="20"/>
              </w:rPr>
              <w:t>,</w:t>
            </w:r>
            <w:r w:rsidRPr="007602E7">
              <w:rPr>
                <w:rFonts w:asciiTheme="minorHAnsi" w:hAnsiTheme="minorHAnsi" w:cstheme="minorHAnsi"/>
                <w:sz w:val="20"/>
              </w:rPr>
              <w:t xml:space="preserve"> projektów realizowanych przez </w:t>
            </w:r>
            <w:r w:rsidR="004605B3">
              <w:rPr>
                <w:rFonts w:asciiTheme="minorHAnsi" w:hAnsiTheme="minorHAnsi" w:cstheme="minorHAnsi"/>
                <w:sz w:val="20"/>
              </w:rPr>
              <w:t xml:space="preserve">PKP </w:t>
            </w:r>
            <w:r w:rsidR="009C3169" w:rsidRPr="007602E7">
              <w:rPr>
                <w:rFonts w:asciiTheme="minorHAnsi" w:hAnsiTheme="minorHAnsi" w:cstheme="minorHAnsi"/>
                <w:sz w:val="20"/>
              </w:rPr>
              <w:t>PLK w</w:t>
            </w:r>
            <w:r w:rsidRPr="007602E7">
              <w:rPr>
                <w:rFonts w:asciiTheme="minorHAnsi" w:hAnsiTheme="minorHAnsi" w:cstheme="minorHAnsi"/>
                <w:sz w:val="20"/>
              </w:rPr>
              <w:t xml:space="preserve"> tym inwestycji polegającej na </w:t>
            </w:r>
            <w:r w:rsidR="009C3169" w:rsidRPr="007602E7">
              <w:rPr>
                <w:rFonts w:asciiTheme="minorHAnsi" w:hAnsiTheme="minorHAnsi" w:cstheme="minorHAnsi"/>
                <w:sz w:val="20"/>
              </w:rPr>
              <w:t>budowie odcinka</w:t>
            </w:r>
            <w:r w:rsidRPr="007602E7">
              <w:rPr>
                <w:rFonts w:asciiTheme="minorHAnsi" w:hAnsiTheme="minorHAnsi" w:cstheme="minorHAnsi"/>
                <w:sz w:val="20"/>
              </w:rPr>
              <w:t xml:space="preserve"> linii kolejowej od stacji Modlin do </w:t>
            </w:r>
            <w:r w:rsidR="009C3169" w:rsidRPr="007602E7">
              <w:rPr>
                <w:rFonts w:asciiTheme="minorHAnsi" w:hAnsiTheme="minorHAnsi" w:cstheme="minorHAnsi"/>
                <w:sz w:val="20"/>
              </w:rPr>
              <w:t>M</w:t>
            </w:r>
            <w:r w:rsidR="009C3169">
              <w:rPr>
                <w:rFonts w:asciiTheme="minorHAnsi" w:hAnsiTheme="minorHAnsi" w:cstheme="minorHAnsi"/>
                <w:sz w:val="20"/>
              </w:rPr>
              <w:t xml:space="preserve">PL </w:t>
            </w:r>
            <w:r w:rsidR="009C3169" w:rsidRPr="007602E7">
              <w:rPr>
                <w:rFonts w:asciiTheme="minorHAnsi" w:hAnsiTheme="minorHAnsi" w:cstheme="minorHAnsi"/>
                <w:sz w:val="20"/>
              </w:rPr>
              <w:t>oraz</w:t>
            </w:r>
            <w:r w:rsidRPr="007602E7">
              <w:rPr>
                <w:rFonts w:asciiTheme="minorHAnsi" w:hAnsiTheme="minorHAnsi" w:cstheme="minorHAnsi"/>
                <w:sz w:val="20"/>
              </w:rPr>
              <w:t xml:space="preserve"> budowa stacji kolejowej M</w:t>
            </w:r>
            <w:r>
              <w:rPr>
                <w:rFonts w:asciiTheme="minorHAnsi" w:hAnsiTheme="minorHAnsi" w:cstheme="minorHAnsi"/>
                <w:sz w:val="20"/>
              </w:rPr>
              <w:t>PL</w:t>
            </w:r>
            <w:r w:rsidRPr="007602E7">
              <w:rPr>
                <w:rFonts w:asciiTheme="minorHAnsi" w:hAnsiTheme="minorHAnsi" w:cstheme="minorHAnsi"/>
                <w:sz w:val="20"/>
              </w:rPr>
              <w:t>. W przeciwnym wypadku zakres wsparcia RPO zostanie rozszerzony o budowę linii kolejowych</w:t>
            </w:r>
            <w:r>
              <w:rPr>
                <w:rFonts w:asciiTheme="minorHAnsi" w:hAnsiTheme="minorHAnsi" w:cstheme="minorHAnsi"/>
                <w:sz w:val="20"/>
              </w:rPr>
              <w:t xml:space="preserve"> zarządzanych przez</w:t>
            </w:r>
            <w:r w:rsidRPr="007602E7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4605B3">
              <w:rPr>
                <w:rFonts w:asciiTheme="minorHAnsi" w:hAnsiTheme="minorHAnsi" w:cstheme="minorHAnsi"/>
                <w:sz w:val="20"/>
              </w:rPr>
              <w:t xml:space="preserve">PKP </w:t>
            </w:r>
            <w:r w:rsidRPr="007602E7">
              <w:rPr>
                <w:rFonts w:asciiTheme="minorHAnsi" w:hAnsiTheme="minorHAnsi" w:cstheme="minorHAnsi"/>
                <w:sz w:val="20"/>
              </w:rPr>
              <w:t>PLK.</w:t>
            </w:r>
          </w:p>
          <w:p w14:paraId="2B4DDA4D" w14:textId="77777777" w:rsidR="002B04B9" w:rsidRPr="00A86611" w:rsidRDefault="002B04B9" w:rsidP="002B04B9">
            <w:pPr>
              <w:spacing w:after="0"/>
              <w:rPr>
                <w:rFonts w:asciiTheme="minorHAnsi" w:hAnsiTheme="minorHAnsi" w:cstheme="minorHAnsi"/>
                <w:sz w:val="20"/>
              </w:rPr>
            </w:pPr>
            <w:r w:rsidRPr="00A86611">
              <w:rPr>
                <w:rFonts w:asciiTheme="minorHAnsi" w:hAnsiTheme="minorHAnsi" w:cstheme="minorHAnsi"/>
                <w:sz w:val="20"/>
              </w:rPr>
              <w:t>Ponadto w ramach rozwoju transportu kolejowego SRWM stanowi, iż:</w:t>
            </w:r>
          </w:p>
          <w:p w14:paraId="64BC9669" w14:textId="633316C2" w:rsidR="002B04B9" w:rsidRPr="00A86611" w:rsidRDefault="002B04B9" w:rsidP="002B04B9">
            <w:pPr>
              <w:spacing w:after="0"/>
              <w:rPr>
                <w:rFonts w:asciiTheme="minorHAnsi" w:hAnsiTheme="minorHAnsi" w:cstheme="minorHAnsi"/>
                <w:sz w:val="20"/>
              </w:rPr>
            </w:pPr>
            <w:r w:rsidRPr="00A86611">
              <w:rPr>
                <w:rFonts w:asciiTheme="minorHAnsi" w:hAnsiTheme="minorHAnsi" w:cstheme="minorHAnsi"/>
                <w:sz w:val="20"/>
              </w:rPr>
              <w:t xml:space="preserve">-poza </w:t>
            </w:r>
            <w:r>
              <w:rPr>
                <w:rFonts w:asciiTheme="minorHAnsi" w:hAnsiTheme="minorHAnsi" w:cstheme="minorHAnsi"/>
                <w:sz w:val="20"/>
              </w:rPr>
              <w:t>modernizacją</w:t>
            </w:r>
            <w:r w:rsidRPr="00A86611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9C3169" w:rsidRPr="00A86611">
              <w:rPr>
                <w:rFonts w:asciiTheme="minorHAnsi" w:hAnsiTheme="minorHAnsi" w:cstheme="minorHAnsi"/>
                <w:sz w:val="20"/>
              </w:rPr>
              <w:t>infrastruktur</w:t>
            </w:r>
            <w:r w:rsidR="009C3169">
              <w:rPr>
                <w:rFonts w:asciiTheme="minorHAnsi" w:hAnsiTheme="minorHAnsi" w:cstheme="minorHAnsi"/>
                <w:sz w:val="20"/>
              </w:rPr>
              <w:t>y</w:t>
            </w:r>
            <w:r w:rsidR="009C3169" w:rsidRPr="00A86611">
              <w:rPr>
                <w:rFonts w:asciiTheme="minorHAnsi" w:hAnsiTheme="minorHAnsi" w:cstheme="minorHAnsi"/>
                <w:sz w:val="20"/>
              </w:rPr>
              <w:t>, sukcesywnej</w:t>
            </w:r>
            <w:r w:rsidRPr="00A86611">
              <w:rPr>
                <w:rFonts w:asciiTheme="minorHAnsi" w:hAnsiTheme="minorHAnsi" w:cstheme="minorHAnsi"/>
                <w:sz w:val="20"/>
              </w:rPr>
              <w:t xml:space="preserve"> wymiany wymaga tabor kolejowy, który powinien również mieć zapewnione zaplecze do jego obsługi i bieżącej naprawy. </w:t>
            </w:r>
            <w:r w:rsidRPr="00B669AA">
              <w:rPr>
                <w:rFonts w:asciiTheme="minorHAnsi" w:hAnsiTheme="minorHAnsi" w:cstheme="minorHAnsi"/>
                <w:sz w:val="20"/>
              </w:rPr>
              <w:t xml:space="preserve">Działania w obu płaszczyznach spowodują zwiększenie częstotliwości i prędkości połączeń kolejowych oraz podniesienie </w:t>
            </w:r>
            <w:r w:rsidR="009C3169">
              <w:rPr>
                <w:rFonts w:asciiTheme="minorHAnsi" w:hAnsiTheme="minorHAnsi" w:cstheme="minorHAnsi"/>
                <w:sz w:val="20"/>
              </w:rPr>
              <w:t>standardu</w:t>
            </w:r>
            <w:r w:rsidR="009C3169" w:rsidRPr="00B669AA">
              <w:rPr>
                <w:rFonts w:asciiTheme="minorHAnsi" w:hAnsiTheme="minorHAnsi" w:cstheme="minorHAnsi"/>
                <w:sz w:val="20"/>
              </w:rPr>
              <w:t xml:space="preserve"> jakości</w:t>
            </w:r>
            <w:r w:rsidRPr="00B669AA">
              <w:rPr>
                <w:rFonts w:asciiTheme="minorHAnsi" w:hAnsiTheme="minorHAnsi" w:cstheme="minorHAnsi"/>
                <w:sz w:val="20"/>
              </w:rPr>
              <w:t xml:space="preserve"> świadczonych usług przewozowych.</w:t>
            </w:r>
            <w:r w:rsidRPr="00A86611">
              <w:rPr>
                <w:rFonts w:asciiTheme="minorHAnsi" w:hAnsiTheme="minorHAnsi" w:cstheme="minorHAnsi"/>
                <w:color w:val="FF0000"/>
                <w:sz w:val="20"/>
              </w:rPr>
              <w:t xml:space="preserve"> </w:t>
            </w:r>
            <w:r w:rsidRPr="00A86611">
              <w:rPr>
                <w:rFonts w:asciiTheme="minorHAnsi" w:hAnsiTheme="minorHAnsi" w:cstheme="minorHAnsi"/>
                <w:sz w:val="20"/>
              </w:rPr>
              <w:t xml:space="preserve">Transport kolejowy będzie miał kluczowe znaczenie w skali regionu. Zgodnie z tym założeniem należy dążyć, aby na liniach wchodzących w skład sieci TEN-T pociągi pasażerskie kursowały z prędkością maksymalną 160 km/h, na liniach regionalnych z prędkością 100-120 km/h, a pociągi w ruchu towarowym 120 km/h. </w:t>
            </w:r>
          </w:p>
          <w:p w14:paraId="31E31D33" w14:textId="77777777" w:rsidR="002B04B9" w:rsidRPr="00A86611" w:rsidRDefault="002B04B9" w:rsidP="002B04B9">
            <w:pPr>
              <w:spacing w:after="0"/>
              <w:rPr>
                <w:rFonts w:asciiTheme="minorHAnsi" w:hAnsiTheme="minorHAnsi" w:cstheme="minorHAnsi"/>
                <w:sz w:val="20"/>
              </w:rPr>
            </w:pPr>
            <w:r w:rsidRPr="00A86611">
              <w:rPr>
                <w:rFonts w:asciiTheme="minorHAnsi" w:hAnsiTheme="minorHAnsi" w:cstheme="minorHAnsi"/>
                <w:sz w:val="20"/>
              </w:rPr>
              <w:t xml:space="preserve">Projekt związany z zakupem taboru wypełnia określone w strategii kierunki działań dotyczące poprawy dostępności komunikacyjnej i transportu w regionie oraz wzmocnienie potencjału rozwojowego ośrodków </w:t>
            </w:r>
            <w:proofErr w:type="spellStart"/>
            <w:r w:rsidRPr="00A86611">
              <w:rPr>
                <w:rFonts w:asciiTheme="minorHAnsi" w:hAnsiTheme="minorHAnsi" w:cstheme="minorHAnsi"/>
                <w:sz w:val="20"/>
              </w:rPr>
              <w:t>subregionalnych</w:t>
            </w:r>
            <w:proofErr w:type="spellEnd"/>
            <w:r w:rsidRPr="00A86611">
              <w:rPr>
                <w:rFonts w:asciiTheme="minorHAnsi" w:hAnsiTheme="minorHAnsi" w:cstheme="minorHAnsi"/>
                <w:sz w:val="20"/>
              </w:rPr>
              <w:t xml:space="preserve"> i małych miast poprzez zakup taboru służącego do realizacji połączeń aglomeracyjnych.</w:t>
            </w:r>
          </w:p>
          <w:p w14:paraId="70E40C4F" w14:textId="0E52CA67" w:rsidR="002B04B9" w:rsidRPr="00A86611" w:rsidRDefault="002B04B9" w:rsidP="002B04B9">
            <w:pPr>
              <w:spacing w:after="0"/>
              <w:rPr>
                <w:rFonts w:asciiTheme="minorHAnsi" w:hAnsiTheme="minorHAnsi" w:cstheme="minorHAnsi"/>
                <w:sz w:val="20"/>
              </w:rPr>
            </w:pPr>
            <w:r w:rsidRPr="00A86611">
              <w:rPr>
                <w:rFonts w:asciiTheme="minorHAnsi" w:hAnsiTheme="minorHAnsi" w:cstheme="minorHAnsi"/>
                <w:sz w:val="20"/>
              </w:rPr>
              <w:t xml:space="preserve">Projekt związany z zakupem taboru wpisuje się również w zasady zrównoważonego rozwoju poprzez promocję transportu szynowego, </w:t>
            </w:r>
            <w:r w:rsidR="009C3169" w:rsidRPr="00A86611">
              <w:rPr>
                <w:rFonts w:asciiTheme="minorHAnsi" w:hAnsiTheme="minorHAnsi" w:cstheme="minorHAnsi"/>
                <w:sz w:val="20"/>
              </w:rPr>
              <w:t>traktowanego, jako</w:t>
            </w:r>
            <w:r w:rsidRPr="00A86611">
              <w:rPr>
                <w:rFonts w:asciiTheme="minorHAnsi" w:hAnsiTheme="minorHAnsi" w:cstheme="minorHAnsi"/>
                <w:sz w:val="20"/>
              </w:rPr>
              <w:t xml:space="preserve"> transport ekologiczny. Wzrost atrakcyjności transportu kolejowego na skutek wprowadzenia do ruchu taboru zapewniającego lepszy czas przejazdu i większy komfort podróży spowoduje przejęcie podróżnych z transportu samochodowego, czego wynikiem będzie mniejsza ilość samochodów w ruchu drogowym, a co za tym idzie mniejsza emisja gazów do atmosfery. Promocja zbiorowego transportu sprzyja bardziej racjonalnemu i oszczędniejszemu wykorzystaniu zasobów, co jest kluczowym elementem zasad zrównoważonego rozwoju. Zakup taboru wpisze się w poszczególne obszary polityki horyzontalnej Unii Europejskiej, ponieważ jego realizacja w pozytywny sposób wpływa na rozwój systemu transportu publicznego, z zachowaniem zasad równego dostępu, jak również poprawy konkurencyjności </w:t>
            </w:r>
            <w:r w:rsidR="009C3169" w:rsidRPr="00A86611">
              <w:rPr>
                <w:rFonts w:asciiTheme="minorHAnsi" w:hAnsiTheme="minorHAnsi" w:cstheme="minorHAnsi"/>
                <w:sz w:val="20"/>
              </w:rPr>
              <w:t>obszaru, na który</w:t>
            </w:r>
            <w:r w:rsidRPr="00A86611">
              <w:rPr>
                <w:rFonts w:asciiTheme="minorHAnsi" w:hAnsiTheme="minorHAnsi" w:cstheme="minorHAnsi"/>
                <w:sz w:val="20"/>
              </w:rPr>
              <w:t xml:space="preserve"> zostanie skierowany tabor.</w:t>
            </w:r>
          </w:p>
          <w:p w14:paraId="77B92A48" w14:textId="498404DD" w:rsidR="002B04B9" w:rsidRDefault="002B04B9" w:rsidP="002B04B9">
            <w:pPr>
              <w:spacing w:after="0"/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</w:pPr>
            <w:r w:rsidRPr="00A86611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W województwie mazowieckim wykorzystanie kolei kształtowało się na poziomie 18,2 przejazdów na mieszkańca. Mazowsze wyróżnia się także największą liczbą pasażerów – 98 mln w 2018 r. W roku tym odnotowano spadek liczby pasażerów związany z modernizacjami ważnych odcinków linii kolejowych. Charakterystyczna dla województwa mazowieckiego jest rola Warszawy, w której kolej jest elementem komunikacji miejskiej. </w:t>
            </w:r>
            <w:r w:rsidRPr="00A86611"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  <w:t xml:space="preserve">W świetle założeń określonych w </w:t>
            </w:r>
            <w:r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  <w:t>SRWM</w:t>
            </w:r>
            <w:r w:rsidRPr="00A86611"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  <w:t>, w dziedzinie transportu priorytetem będzie stw</w:t>
            </w:r>
            <w:r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  <w:t>o</w:t>
            </w:r>
            <w:r w:rsidRPr="00A86611"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  <w:t>rz</w:t>
            </w:r>
            <w:r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  <w:t>e</w:t>
            </w:r>
            <w:r w:rsidRPr="00A86611"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  <w:t xml:space="preserve">nie warunków zachęcających do korzystania z najmniej uciążliwych dla przestrzeni, środowiska i mieszkańców środków transportu. W skali międzynarodowej, istotne znaczenie będzie miał rozwój </w:t>
            </w:r>
            <w:r w:rsidRPr="00A86611"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  <w:lastRenderedPageBreak/>
              <w:t xml:space="preserve">infrastruktury wchodzącej w skład transeuropejskich sieci transportowych TEN-T, w tym Warszawskiego Węzła Transportowego. </w:t>
            </w:r>
          </w:p>
          <w:p w14:paraId="4B9B392A" w14:textId="13F8496B" w:rsidR="002C635E" w:rsidRPr="002C635E" w:rsidRDefault="002C635E" w:rsidP="002C635E">
            <w:pPr>
              <w:spacing w:after="0"/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  <w:t xml:space="preserve">Istotne </w:t>
            </w:r>
            <w:r w:rsidR="00A959F2" w:rsidRPr="00A959F2"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  <w:t xml:space="preserve">znaczenie w perspektywie 2021-2027 </w:t>
            </w:r>
            <w:r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  <w:t xml:space="preserve">również </w:t>
            </w:r>
            <w:r w:rsidR="00A959F2" w:rsidRPr="00A959F2"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  <w:t>będzie miało stworzenie spójnej sieci szkieletowej tras rowerowych w skali województwa oraz wdrożenie standardów infrastruktury rowerowej na poziomie regionalnym.</w:t>
            </w:r>
            <w:r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  <w:t xml:space="preserve"> W celu </w:t>
            </w:r>
            <w:proofErr w:type="spellStart"/>
            <w:r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  <w:t>stowrzenia</w:t>
            </w:r>
            <w:proofErr w:type="spellEnd"/>
            <w:r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  <w:t xml:space="preserve"> kompleksowej sieci tras rowerowych tworzone będą trasy </w:t>
            </w:r>
            <w:r w:rsidRPr="002C635E"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  <w:t>wzdłuż linii kolejowych</w:t>
            </w:r>
            <w:r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  <w:t>.  P</w:t>
            </w:r>
            <w:r w:rsidRPr="002C635E"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  <w:t xml:space="preserve">ozwoli ta na wytworzenie sieci szkieletowej, do której będą mogły dowiązywać trasy na poziomie lokalnym, zapewniając spójność na poziomie województwa.  </w:t>
            </w:r>
          </w:p>
          <w:p w14:paraId="15980877" w14:textId="77777777" w:rsidR="002B04B9" w:rsidRDefault="002B04B9" w:rsidP="002B04B9">
            <w:pPr>
              <w:spacing w:after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86611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Dzięki wsparciu finansowanemu UE udało się zrealizować wiele inwestycji transportowych, które wpłynęły na poprawę jakości oraz bezpieczeństwo całej sieci. Jednak nowoczesna sieć transportowa na Mazowszu dopiero się tworzy i nie stanowi jeszcze spójnej całości. Istotny element regionalnego systemu transportowego stanowi infrastruktura kolejowa. Obecna oferta przewoźników, pomimo realizowanych inwestycji nie zaspokaja w pełni potrzeb przewozowych i oczekiwań podróżnych z uwagi na zbyt długi czas przejazdu, częstotliwość kursowania, stan techniczny eksploatowanego taboru, a także nie w pełni satysfakcjonujący stopień bezpieczeństwa. </w:t>
            </w:r>
          </w:p>
          <w:p w14:paraId="04897DE6" w14:textId="5B1C0285" w:rsidR="002B04B9" w:rsidRPr="00A86611" w:rsidRDefault="002B04B9" w:rsidP="002B04B9">
            <w:pPr>
              <w:spacing w:after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86611">
              <w:rPr>
                <w:rFonts w:asciiTheme="minorHAnsi" w:hAnsiTheme="minorHAnsi" w:cstheme="minorHAnsi"/>
                <w:color w:val="000000" w:themeColor="text1"/>
                <w:sz w:val="20"/>
              </w:rPr>
              <w:t>W najbliż</w:t>
            </w:r>
            <w:r w:rsidR="00C036C5">
              <w:rPr>
                <w:rFonts w:asciiTheme="minorHAnsi" w:hAnsiTheme="minorHAnsi" w:cstheme="minorHAnsi"/>
                <w:color w:val="000000" w:themeColor="text1"/>
                <w:sz w:val="20"/>
              </w:rPr>
              <w:t>sz</w:t>
            </w:r>
            <w:r w:rsidRPr="00A86611">
              <w:rPr>
                <w:rFonts w:asciiTheme="minorHAnsi" w:hAnsiTheme="minorHAnsi" w:cstheme="minorHAnsi"/>
                <w:color w:val="000000" w:themeColor="text1"/>
                <w:sz w:val="20"/>
              </w:rPr>
              <w:t>ej perspektywie kluczowe znaczenie w rozwoju infrastruktury kolejowej będzie mieć:</w:t>
            </w:r>
          </w:p>
          <w:p w14:paraId="29AF8AAB" w14:textId="77777777" w:rsidR="002B04B9" w:rsidRPr="00A86611" w:rsidRDefault="002B04B9" w:rsidP="002B04B9">
            <w:pPr>
              <w:autoSpaceDE w:val="0"/>
              <w:autoSpaceDN w:val="0"/>
              <w:adjustRightInd w:val="0"/>
              <w:spacing w:before="0" w:after="18"/>
              <w:jc w:val="left"/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</w:pPr>
            <w:r w:rsidRPr="00A86611"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  <w:t xml:space="preserve">• zakup i modernizacja taboru, która wpłynie na zwiększenie komfortu jazdy, poprawę bezpieczeństwa podróży, likwidowanie barier w dostępie osób o ograniczonej mobilności, w tym niepełnosprawnych, </w:t>
            </w:r>
          </w:p>
          <w:p w14:paraId="4E6778BE" w14:textId="77777777" w:rsidR="002B04B9" w:rsidRPr="00A86611" w:rsidRDefault="002B04B9" w:rsidP="002B04B9">
            <w:pPr>
              <w:autoSpaceDE w:val="0"/>
              <w:autoSpaceDN w:val="0"/>
              <w:adjustRightInd w:val="0"/>
              <w:spacing w:before="0" w:after="18"/>
              <w:jc w:val="left"/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</w:pPr>
            <w:r w:rsidRPr="00A86611"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  <w:t>• poprawa stanu technicznego linii o znaczeniu regionalnym, która przyczyni się do eliminowania miejscowych ograniczeń p</w:t>
            </w:r>
            <w:r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  <w:t>rzepustowości</w:t>
            </w:r>
            <w:r w:rsidRPr="00A86611"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  <w:t xml:space="preserve"> (tzw. wąskich gardeł), poprawy stanu technicznego oraz parametrów użytkowych, co wpłynie na zwiększenie przepustowości linii, skrócenie czasu przejazdu, zwiększenie bezpieczeństwa i komfortu jazdy oraz zwiększenie mobilności mieszkańców, </w:t>
            </w:r>
          </w:p>
          <w:p w14:paraId="728FFAD2" w14:textId="77777777" w:rsidR="002B04B9" w:rsidRPr="00A86611" w:rsidRDefault="002B04B9" w:rsidP="002B04B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</w:pPr>
            <w:r w:rsidRPr="00A86611">
              <w:rPr>
                <w:rFonts w:asciiTheme="minorHAnsi" w:eastAsiaTheme="minorHAnsi" w:hAnsiTheme="minorHAnsi" w:cstheme="minorHAnsi"/>
                <w:color w:val="000000"/>
                <w:sz w:val="20"/>
                <w:lang w:bidi="ar-SA"/>
              </w:rPr>
              <w:t xml:space="preserve">• budowa zapleczy utrzymaniowo-naprawczych do bieżącej obsługi technicznej pojazdów szynowych, która przyczyni się do zwiększenia jakości i efektywności oferowanych usług oraz umożliwi zapewnienie płynności w realizacji przewozów i optymalizacji wykorzystania parku taborowego. </w:t>
            </w:r>
          </w:p>
          <w:p w14:paraId="1896366A" w14:textId="1AA4A6C7" w:rsidR="002B04B9" w:rsidRPr="00A86611" w:rsidRDefault="002B04B9" w:rsidP="002B04B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86611">
              <w:rPr>
                <w:rFonts w:asciiTheme="minorHAnsi" w:hAnsiTheme="minorHAnsi" w:cstheme="minorHAnsi"/>
                <w:sz w:val="20"/>
                <w:szCs w:val="20"/>
              </w:rPr>
              <w:t xml:space="preserve">Interwencja w zakresie regionalnego systemu transportowego wpisuje się w realizację priorytetu Strategii Europa 2020 oraz Białej Księgi. Plan utworzenia jednolitego europejskiego obszaru transportu-dążenie do osiągnięcia </w:t>
            </w:r>
            <w:r w:rsidR="009C3169" w:rsidRPr="00A86611">
              <w:rPr>
                <w:rFonts w:asciiTheme="minorHAnsi" w:hAnsiTheme="minorHAnsi" w:cstheme="minorHAnsi"/>
                <w:sz w:val="20"/>
                <w:szCs w:val="20"/>
              </w:rPr>
              <w:t>konkurencyjnego i</w:t>
            </w:r>
            <w:r w:rsidRPr="00A86611">
              <w:rPr>
                <w:rFonts w:asciiTheme="minorHAnsi" w:hAnsiTheme="minorHAnsi" w:cstheme="minorHAnsi"/>
                <w:sz w:val="20"/>
                <w:szCs w:val="20"/>
              </w:rPr>
              <w:t xml:space="preserve"> oszczędnego zasobowo systemu </w:t>
            </w:r>
            <w:r w:rsidR="009C3169" w:rsidRPr="00A86611">
              <w:rPr>
                <w:rFonts w:asciiTheme="minorHAnsi" w:hAnsiTheme="minorHAnsi" w:cstheme="minorHAnsi"/>
                <w:sz w:val="20"/>
                <w:szCs w:val="20"/>
              </w:rPr>
              <w:t>transportu</w:t>
            </w:r>
            <w:r w:rsidRPr="00A86611">
              <w:rPr>
                <w:rFonts w:asciiTheme="minorHAnsi" w:hAnsiTheme="minorHAnsi" w:cstheme="minorHAnsi"/>
                <w:sz w:val="20"/>
                <w:szCs w:val="20"/>
              </w:rPr>
              <w:t xml:space="preserve"> (Transport 2050). Tym samym przyczynić się do osiągniecia celów zawartych w opracowanych dokumentach strategicznych.</w:t>
            </w:r>
          </w:p>
          <w:p w14:paraId="113B9739" w14:textId="4D0937E6" w:rsidR="00CC10C7" w:rsidRPr="00A7032C" w:rsidRDefault="00CC10C7" w:rsidP="002B04B9">
            <w:pPr>
              <w:pStyle w:val="Defaul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4BC7A944" w14:textId="77777777" w:rsidR="00485432" w:rsidRDefault="00485432">
      <w:pPr>
        <w:rPr>
          <w:i/>
          <w:noProof/>
        </w:rPr>
      </w:pPr>
    </w:p>
    <w:p w14:paraId="45B57D8E" w14:textId="77777777" w:rsidR="006B72A4" w:rsidRDefault="00B6314E">
      <w:pPr>
        <w:rPr>
          <w:i/>
          <w:noProof/>
        </w:rPr>
      </w:pPr>
      <w:r>
        <w:rPr>
          <w:i/>
          <w:noProof/>
        </w:rPr>
        <w:t>Główne grupy docelowe – art. 17 ust. 3 lit. d) ppkt (iii):</w:t>
      </w:r>
    </w:p>
    <w:p w14:paraId="01C71992" w14:textId="77777777" w:rsidR="006B72A4" w:rsidRDefault="00B63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</w:rPr>
      </w:pPr>
      <w:r>
        <w:rPr>
          <w:i/>
          <w:noProof/>
        </w:rPr>
        <w:t>Pole tekstowe [1</w:t>
      </w:r>
      <w:r w:rsidR="00912318">
        <w:rPr>
          <w:i/>
          <w:noProof/>
        </w:rPr>
        <w:t> </w:t>
      </w:r>
      <w:r>
        <w:rPr>
          <w:i/>
          <w:noProof/>
        </w:rPr>
        <w:t>000]</w:t>
      </w:r>
    </w:p>
    <w:p w14:paraId="07FDB201" w14:textId="7AA540E7" w:rsidR="005A6A02" w:rsidRPr="00A73555" w:rsidRDefault="00912318" w:rsidP="00313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</w:pPr>
      <w:r w:rsidRPr="005A6A02">
        <w:rPr>
          <w:rFonts w:ascii="Arial" w:hAnsi="Arial" w:cs="Arial"/>
          <w:noProof/>
          <w:sz w:val="18"/>
          <w:szCs w:val="18"/>
        </w:rPr>
        <w:t>Zestawienie głównych grup beneficjentów:</w:t>
      </w:r>
      <w:r w:rsidR="005A6A02" w:rsidRPr="005A6A02">
        <w:t xml:space="preserve"> </w:t>
      </w:r>
    </w:p>
    <w:p w14:paraId="7C99F6BA" w14:textId="30B7E1CB" w:rsidR="005A6A02" w:rsidRDefault="005A6A02" w:rsidP="00313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- </w:t>
      </w:r>
      <w:bookmarkStart w:id="1" w:name="_Hlk44405546"/>
      <w:r w:rsidRPr="005A6A02">
        <w:rPr>
          <w:rFonts w:ascii="Arial" w:hAnsi="Arial" w:cs="Arial"/>
          <w:noProof/>
          <w:sz w:val="18"/>
          <w:szCs w:val="18"/>
        </w:rPr>
        <w:t>Województw</w:t>
      </w:r>
      <w:r w:rsidR="004605B3">
        <w:rPr>
          <w:rFonts w:ascii="Arial" w:hAnsi="Arial" w:cs="Arial"/>
          <w:noProof/>
          <w:sz w:val="18"/>
          <w:szCs w:val="18"/>
        </w:rPr>
        <w:t>o</w:t>
      </w:r>
      <w:r w:rsidRPr="005A6A02">
        <w:rPr>
          <w:rFonts w:ascii="Arial" w:hAnsi="Arial" w:cs="Arial"/>
          <w:noProof/>
          <w:sz w:val="18"/>
          <w:szCs w:val="18"/>
        </w:rPr>
        <w:t xml:space="preserve"> Mazowieckie</w:t>
      </w:r>
    </w:p>
    <w:p w14:paraId="06A8A079" w14:textId="195DF699" w:rsidR="002B04B9" w:rsidRDefault="002B04B9" w:rsidP="00313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- </w:t>
      </w:r>
      <w:r w:rsidR="008834D6">
        <w:rPr>
          <w:rFonts w:ascii="Arial" w:hAnsi="Arial" w:cs="Arial"/>
          <w:noProof/>
          <w:sz w:val="18"/>
          <w:szCs w:val="18"/>
        </w:rPr>
        <w:t xml:space="preserve">Spólka </w:t>
      </w:r>
      <w:r w:rsidRPr="002B04B9">
        <w:rPr>
          <w:rFonts w:ascii="Arial" w:hAnsi="Arial" w:cs="Arial"/>
          <w:noProof/>
          <w:sz w:val="18"/>
          <w:szCs w:val="18"/>
        </w:rPr>
        <w:t>Koleje Mazowieckie-KM" sp z o.o.</w:t>
      </w:r>
    </w:p>
    <w:p w14:paraId="4F17D18C" w14:textId="30A031F2" w:rsidR="002B04B9" w:rsidRDefault="002B04B9" w:rsidP="00313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- </w:t>
      </w:r>
      <w:r w:rsidRPr="002B04B9">
        <w:rPr>
          <w:rFonts w:ascii="Arial" w:hAnsi="Arial" w:cs="Arial"/>
          <w:noProof/>
          <w:sz w:val="18"/>
          <w:szCs w:val="18"/>
        </w:rPr>
        <w:t>Warszawska Kolej Dojazdowa sp z o.o.</w:t>
      </w:r>
    </w:p>
    <w:p w14:paraId="0CA8E5E3" w14:textId="17E4A1D1" w:rsidR="004605B3" w:rsidRPr="005A6A02" w:rsidRDefault="004605B3" w:rsidP="003132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>- PKP PLK</w:t>
      </w:r>
      <w:r w:rsidR="00397935">
        <w:rPr>
          <w:rStyle w:val="Odwoanieprzypisudolnego"/>
          <w:rFonts w:ascii="Arial" w:hAnsi="Arial" w:cs="Arial"/>
          <w:noProof/>
          <w:sz w:val="18"/>
          <w:szCs w:val="18"/>
        </w:rPr>
        <w:footnoteReference w:id="2"/>
      </w:r>
    </w:p>
    <w:bookmarkEnd w:id="1"/>
    <w:p w14:paraId="399B3C46" w14:textId="77777777" w:rsidR="005A6A02" w:rsidRDefault="005A6A02" w:rsidP="00A55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</w:p>
    <w:p w14:paraId="13642944" w14:textId="77777777" w:rsidR="005A6A02" w:rsidRDefault="00912318" w:rsidP="00A55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</w:pPr>
      <w:r w:rsidRPr="00912318">
        <w:rPr>
          <w:rFonts w:ascii="Arial" w:hAnsi="Arial" w:cs="Arial"/>
          <w:noProof/>
          <w:sz w:val="18"/>
          <w:szCs w:val="18"/>
        </w:rPr>
        <w:t>Zestawienie głównych grup docelowych:</w:t>
      </w:r>
      <w:r w:rsidR="005A6A02" w:rsidRPr="005A6A02">
        <w:t xml:space="preserve"> </w:t>
      </w:r>
    </w:p>
    <w:p w14:paraId="54A92A8C" w14:textId="77777777" w:rsidR="005A6A02" w:rsidRDefault="00A55602" w:rsidP="00A55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- </w:t>
      </w:r>
      <w:r w:rsidR="005A6A02" w:rsidRPr="005A6A02">
        <w:rPr>
          <w:rFonts w:ascii="Arial" w:hAnsi="Arial" w:cs="Arial"/>
          <w:noProof/>
          <w:sz w:val="18"/>
          <w:szCs w:val="18"/>
        </w:rPr>
        <w:t>osoby i instytucje z województwa mazowieckiego</w:t>
      </w:r>
      <w:r>
        <w:rPr>
          <w:rFonts w:ascii="Arial" w:hAnsi="Arial" w:cs="Arial"/>
          <w:noProof/>
          <w:sz w:val="18"/>
          <w:szCs w:val="18"/>
        </w:rPr>
        <w:t>.</w:t>
      </w:r>
    </w:p>
    <w:p w14:paraId="78D23065" w14:textId="77777777" w:rsidR="006B72A4" w:rsidRDefault="00B6314E">
      <w:pPr>
        <w:spacing w:after="0"/>
        <w:rPr>
          <w:i/>
          <w:noProof/>
        </w:rPr>
      </w:pPr>
      <w:r>
        <w:rPr>
          <w:i/>
          <w:noProof/>
        </w:rPr>
        <w:t>Szczególne terytoria docelowe, z uwzględnieniem planowanego wykorzystania narzędzi terytorialnych – art. 17 ust. 3 lit. d) ppkt (iv)</w:t>
      </w:r>
    </w:p>
    <w:p w14:paraId="51A58340" w14:textId="6A6182EB" w:rsidR="00652392" w:rsidRPr="007B2108" w:rsidRDefault="00B6314E" w:rsidP="007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i/>
          <w:noProof/>
        </w:rPr>
      </w:pPr>
      <w:r>
        <w:rPr>
          <w:i/>
          <w:noProof/>
        </w:rPr>
        <w:t>Pole tekstowe [2 000]</w:t>
      </w:r>
    </w:p>
    <w:p w14:paraId="55A917AC" w14:textId="0433E346" w:rsidR="006B72A4" w:rsidRDefault="00B6314E">
      <w:pPr>
        <w:spacing w:before="240" w:after="240"/>
        <w:rPr>
          <w:noProof/>
          <w:highlight w:val="yellow"/>
        </w:rPr>
      </w:pPr>
      <w:r>
        <w:rPr>
          <w:b/>
          <w:noProof/>
        </w:rPr>
        <w:lastRenderedPageBreak/>
        <w:t>2.1.1.2 Wskaźniki</w:t>
      </w:r>
      <w:r>
        <w:rPr>
          <w:rStyle w:val="Odwoanieprzypisudolnego"/>
          <w:b/>
          <w:noProof/>
        </w:rPr>
        <w:footnoteReference w:id="3"/>
      </w:r>
      <w:r w:rsidR="00EC4E06">
        <w:rPr>
          <w:b/>
          <w:noProof/>
        </w:rPr>
        <w:t xml:space="preserve"> - </w:t>
      </w:r>
    </w:p>
    <w:p w14:paraId="52FE1120" w14:textId="77777777" w:rsidR="006B72A4" w:rsidRDefault="00B6314E">
      <w:pPr>
        <w:rPr>
          <w:i/>
          <w:noProof/>
        </w:rPr>
      </w:pPr>
      <w:r>
        <w:rPr>
          <w:i/>
          <w:noProof/>
        </w:rPr>
        <w:t>Podstawa prawna: art. 17 ust. 3 lit. d) ppkt (ii)</w:t>
      </w:r>
    </w:p>
    <w:p w14:paraId="77E3EB30" w14:textId="77777777" w:rsidR="002A119A" w:rsidRPr="007B2108" w:rsidRDefault="00004CF4" w:rsidP="002A119A">
      <w:pPr>
        <w:pStyle w:val="Point2"/>
        <w:rPr>
          <w:noProof/>
        </w:rPr>
      </w:pPr>
      <w:r w:rsidRPr="007B2108">
        <w:rPr>
          <w:i/>
          <w:noProof/>
        </w:rPr>
        <w:t xml:space="preserve">art. 17 ust. 3 lit. d) ppkt (ii) </w:t>
      </w:r>
      <w:r w:rsidR="002A119A" w:rsidRPr="007B2108">
        <w:rPr>
          <w:noProof/>
        </w:rPr>
        <w:t>wskaźniki produktu i wskaźniki rezultatu wraz z odnośnymi celami pośrednimi i celami końcowymi;</w:t>
      </w:r>
    </w:p>
    <w:p w14:paraId="7DC28639" w14:textId="77777777" w:rsidR="002A119A" w:rsidRDefault="002A119A">
      <w:pPr>
        <w:rPr>
          <w:rFonts w:eastAsia="Times New Roman"/>
          <w:i/>
          <w:noProof/>
          <w:szCs w:val="24"/>
        </w:rPr>
      </w:pPr>
    </w:p>
    <w:tbl>
      <w:tblPr>
        <w:tblW w:w="594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2276"/>
        <w:gridCol w:w="1138"/>
        <w:gridCol w:w="996"/>
        <w:gridCol w:w="1403"/>
        <w:gridCol w:w="1431"/>
        <w:gridCol w:w="711"/>
        <w:gridCol w:w="565"/>
        <w:gridCol w:w="838"/>
      </w:tblGrid>
      <w:tr w:rsidR="0031326C" w:rsidRPr="00BF4020" w14:paraId="350A6C8E" w14:textId="77777777" w:rsidTr="00F613A1">
        <w:trPr>
          <w:trHeight w:val="425"/>
        </w:trPr>
        <w:tc>
          <w:tcPr>
            <w:tcW w:w="5000" w:type="pct"/>
            <w:gridSpan w:val="9"/>
            <w:shd w:val="clear" w:color="auto" w:fill="D9D9D9" w:themeFill="background1" w:themeFillShade="D9"/>
            <w:vAlign w:val="center"/>
          </w:tcPr>
          <w:p w14:paraId="7B8EEC41" w14:textId="77777777" w:rsidR="0031326C" w:rsidRPr="00BF4020" w:rsidRDefault="0031326C" w:rsidP="00F613A1">
            <w:pPr>
              <w:pStyle w:val="Text1"/>
              <w:ind w:left="22"/>
              <w:rPr>
                <w:b/>
                <w:i/>
                <w:iCs/>
                <w:noProof/>
                <w:sz w:val="20"/>
                <w:shd w:val="clear" w:color="auto" w:fill="FFC000"/>
                <w:lang w:val="en-GB"/>
              </w:rPr>
            </w:pPr>
            <w:r w:rsidRPr="002B29D6">
              <w:rPr>
                <w:b/>
                <w:noProof/>
                <w:sz w:val="20"/>
                <w:lang w:val="en-GB"/>
              </w:rPr>
              <w:t xml:space="preserve">Tabela 2: Wskaźniki produktu </w:t>
            </w:r>
          </w:p>
        </w:tc>
      </w:tr>
      <w:tr w:rsidR="0031326C" w14:paraId="428F9D8F" w14:textId="77777777" w:rsidTr="00F613A1">
        <w:trPr>
          <w:trHeight w:val="425"/>
        </w:trPr>
        <w:tc>
          <w:tcPr>
            <w:tcW w:w="658" w:type="pct"/>
            <w:shd w:val="clear" w:color="auto" w:fill="D9D9D9" w:themeFill="background1" w:themeFillShade="D9"/>
            <w:vAlign w:val="center"/>
          </w:tcPr>
          <w:p w14:paraId="6BF34FA3" w14:textId="77777777" w:rsidR="0031326C" w:rsidRPr="00726E7F" w:rsidRDefault="0031326C" w:rsidP="00F613A1">
            <w:pPr>
              <w:pStyle w:val="Text1"/>
              <w:ind w:left="0"/>
              <w:rPr>
                <w:b/>
                <w:noProof/>
                <w:sz w:val="16"/>
                <w:lang w:val="en-GB"/>
              </w:rPr>
            </w:pPr>
            <w:r w:rsidRPr="00726E7F">
              <w:rPr>
                <w:b/>
                <w:noProof/>
                <w:sz w:val="16"/>
                <w:lang w:val="en-GB"/>
              </w:rPr>
              <w:t xml:space="preserve">Priorytet </w:t>
            </w:r>
          </w:p>
          <w:p w14:paraId="70430810" w14:textId="77777777" w:rsidR="0031326C" w:rsidRPr="00A55C61" w:rsidRDefault="0031326C" w:rsidP="00F613A1">
            <w:pPr>
              <w:pStyle w:val="Text1"/>
              <w:ind w:left="0"/>
              <w:rPr>
                <w:b/>
                <w:noProof/>
                <w:sz w:val="16"/>
                <w:szCs w:val="16"/>
                <w:shd w:val="clear" w:color="auto" w:fill="FFC000"/>
                <w:lang w:val="en-GB"/>
              </w:rPr>
            </w:pP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569944B9" w14:textId="77777777" w:rsidR="0031326C" w:rsidRDefault="0031326C" w:rsidP="00F613A1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Cel szczegółowy (cel „Zatrudnienie i wzrost”) lub obszar wsparcia (EFMR)</w:t>
            </w:r>
          </w:p>
        </w:tc>
        <w:tc>
          <w:tcPr>
            <w:tcW w:w="528" w:type="pct"/>
            <w:shd w:val="clear" w:color="auto" w:fill="D9D9D9" w:themeFill="background1" w:themeFillShade="D9"/>
            <w:vAlign w:val="center"/>
          </w:tcPr>
          <w:p w14:paraId="50EE513C" w14:textId="77777777" w:rsidR="0031326C" w:rsidRDefault="0031326C" w:rsidP="00F613A1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Fundusz</w:t>
            </w:r>
          </w:p>
        </w:tc>
        <w:tc>
          <w:tcPr>
            <w:tcW w:w="462" w:type="pct"/>
            <w:shd w:val="clear" w:color="auto" w:fill="D9D9D9" w:themeFill="background1" w:themeFillShade="D9"/>
            <w:vAlign w:val="center"/>
          </w:tcPr>
          <w:p w14:paraId="61AF5771" w14:textId="77777777" w:rsidR="0031326C" w:rsidRPr="00A55C61" w:rsidRDefault="0031326C" w:rsidP="00F613A1">
            <w:pPr>
              <w:pStyle w:val="Text1"/>
              <w:ind w:left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Kategoria regionu</w:t>
            </w:r>
          </w:p>
        </w:tc>
        <w:tc>
          <w:tcPr>
            <w:tcW w:w="651" w:type="pct"/>
            <w:shd w:val="clear" w:color="auto" w:fill="D9D9D9" w:themeFill="background1" w:themeFillShade="D9"/>
            <w:vAlign w:val="center"/>
          </w:tcPr>
          <w:p w14:paraId="1EBA726E" w14:textId="77777777" w:rsidR="0031326C" w:rsidRDefault="0031326C" w:rsidP="00F613A1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Nr identyfikacyjny [5]</w:t>
            </w:r>
            <w:r>
              <w:rPr>
                <w:b/>
                <w:noProof/>
                <w:sz w:val="16"/>
              </w:rPr>
              <w:br/>
            </w:r>
            <w:r>
              <w:rPr>
                <w:b/>
                <w:noProof/>
                <w:sz w:val="16"/>
                <w:szCs w:val="16"/>
              </w:rPr>
              <w:br/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71C49A68" w14:textId="77777777" w:rsidR="0031326C" w:rsidRDefault="0031326C" w:rsidP="00F613A1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 xml:space="preserve">Wskaźnik [255] </w:t>
            </w:r>
          </w:p>
        </w:tc>
        <w:tc>
          <w:tcPr>
            <w:tcW w:w="330" w:type="pct"/>
            <w:shd w:val="clear" w:color="auto" w:fill="D9D9D9" w:themeFill="background1" w:themeFillShade="D9"/>
            <w:vAlign w:val="center"/>
          </w:tcPr>
          <w:p w14:paraId="1E648DAE" w14:textId="77777777" w:rsidR="0031326C" w:rsidRDefault="0031326C" w:rsidP="00F613A1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Jednostka miary</w:t>
            </w:r>
          </w:p>
        </w:tc>
        <w:tc>
          <w:tcPr>
            <w:tcW w:w="262" w:type="pct"/>
            <w:shd w:val="clear" w:color="auto" w:fill="D9D9D9" w:themeFill="background1" w:themeFillShade="D9"/>
            <w:vAlign w:val="center"/>
          </w:tcPr>
          <w:p w14:paraId="129C1678" w14:textId="77777777" w:rsidR="0031326C" w:rsidRPr="00797EB4" w:rsidRDefault="0031326C" w:rsidP="00F613A1">
            <w:pPr>
              <w:pStyle w:val="Text1"/>
              <w:ind w:left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 xml:space="preserve">Cel pośredni (2024) </w:t>
            </w:r>
            <w:r>
              <w:rPr>
                <w:b/>
                <w:noProof/>
                <w:sz w:val="16"/>
                <w:szCs w:val="16"/>
              </w:rPr>
              <w:t>kamień milowy ?</w:t>
            </w:r>
          </w:p>
          <w:p w14:paraId="0916AD4C" w14:textId="77777777" w:rsidR="0031326C" w:rsidRDefault="0031326C" w:rsidP="00F613A1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389" w:type="pct"/>
            <w:shd w:val="clear" w:color="auto" w:fill="D9D9D9" w:themeFill="background1" w:themeFillShade="D9"/>
            <w:vAlign w:val="center"/>
          </w:tcPr>
          <w:p w14:paraId="4602FCD3" w14:textId="77777777" w:rsidR="0031326C" w:rsidRDefault="0031326C" w:rsidP="00F613A1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Cel (2029)</w:t>
            </w:r>
            <w:r>
              <w:rPr>
                <w:b/>
                <w:noProof/>
                <w:sz w:val="16"/>
              </w:rPr>
              <w:br/>
            </w:r>
            <w:r>
              <w:rPr>
                <w:b/>
                <w:noProof/>
                <w:sz w:val="16"/>
                <w:szCs w:val="16"/>
              </w:rPr>
              <w:t>końcowy</w:t>
            </w:r>
          </w:p>
          <w:p w14:paraId="7BA9F7AD" w14:textId="77777777" w:rsidR="0031326C" w:rsidRDefault="0031326C" w:rsidP="00F613A1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</w:p>
        </w:tc>
      </w:tr>
      <w:tr w:rsidR="0031326C" w:rsidRPr="00A55C61" w14:paraId="52337BA5" w14:textId="77777777" w:rsidTr="00F613A1">
        <w:trPr>
          <w:trHeight w:val="986"/>
        </w:trPr>
        <w:tc>
          <w:tcPr>
            <w:tcW w:w="658" w:type="pct"/>
            <w:vAlign w:val="center"/>
          </w:tcPr>
          <w:p w14:paraId="136BB6AD" w14:textId="77777777" w:rsidR="0031326C" w:rsidRPr="00A55C61" w:rsidRDefault="0031326C" w:rsidP="00F613A1">
            <w:pPr>
              <w:pStyle w:val="Text1"/>
              <w:ind w:left="0"/>
              <w:jc w:val="left"/>
              <w:rPr>
                <w:noProof/>
                <w:sz w:val="16"/>
                <w:lang w:val="en-GB"/>
              </w:rPr>
            </w:pPr>
          </w:p>
        </w:tc>
        <w:tc>
          <w:tcPr>
            <w:tcW w:w="1056" w:type="pct"/>
            <w:vAlign w:val="center"/>
          </w:tcPr>
          <w:p w14:paraId="264BB496" w14:textId="77777777" w:rsidR="0031326C" w:rsidRPr="005F2CD0" w:rsidRDefault="0031326C" w:rsidP="00F613A1">
            <w:pPr>
              <w:pStyle w:val="Text1"/>
              <w:ind w:left="0"/>
              <w:jc w:val="left"/>
              <w:rPr>
                <w:b/>
                <w:noProof/>
                <w:sz w:val="16"/>
              </w:rPr>
            </w:pPr>
            <w:r w:rsidRPr="005F2CD0">
              <w:rPr>
                <w:b/>
                <w:noProof/>
                <w:sz w:val="16"/>
              </w:rPr>
              <w:t>(iii) Rozwój zrównoważonej, inteligentnej i intermodalnej mobilności odpornej na zmianę klimatu na szczeblu krajowym, regionalnym i lokalnym, w tym poprawa dostępu do sieci TEN-T i mobilności transgranicznej</w:t>
            </w:r>
          </w:p>
        </w:tc>
        <w:tc>
          <w:tcPr>
            <w:tcW w:w="528" w:type="pct"/>
            <w:vAlign w:val="center"/>
          </w:tcPr>
          <w:p w14:paraId="415B98A3" w14:textId="77777777" w:rsidR="0031326C" w:rsidRPr="00A55C61" w:rsidRDefault="0031326C" w:rsidP="00F613A1">
            <w:pPr>
              <w:pStyle w:val="Text1"/>
              <w:ind w:left="0"/>
              <w:jc w:val="left"/>
              <w:rPr>
                <w:noProof/>
                <w:sz w:val="16"/>
              </w:rPr>
            </w:pPr>
            <w:r w:rsidRPr="00A55C61">
              <w:rPr>
                <w:noProof/>
                <w:sz w:val="16"/>
              </w:rPr>
              <w:t>EFRR</w:t>
            </w:r>
          </w:p>
        </w:tc>
        <w:tc>
          <w:tcPr>
            <w:tcW w:w="462" w:type="pct"/>
            <w:vAlign w:val="center"/>
          </w:tcPr>
          <w:p w14:paraId="71FB7D41" w14:textId="77777777" w:rsidR="0031326C" w:rsidRPr="00BF4020" w:rsidRDefault="0031326C" w:rsidP="00F613A1">
            <w:pPr>
              <w:pStyle w:val="Text1"/>
              <w:ind w:left="0"/>
              <w:jc w:val="left"/>
              <w:rPr>
                <w:noProof/>
                <w:sz w:val="16"/>
              </w:rPr>
            </w:pPr>
            <w:r w:rsidRPr="00BF4020">
              <w:rPr>
                <w:noProof/>
                <w:sz w:val="16"/>
              </w:rPr>
              <w:t>Lepiej rozwinięte / Słabiej rozwinięte</w:t>
            </w:r>
          </w:p>
        </w:tc>
        <w:tc>
          <w:tcPr>
            <w:tcW w:w="651" w:type="pct"/>
            <w:vAlign w:val="center"/>
          </w:tcPr>
          <w:p w14:paraId="580110DC" w14:textId="77777777" w:rsidR="0031326C" w:rsidRDefault="0031326C" w:rsidP="00F613A1">
            <w:pPr>
              <w:pStyle w:val="Text1"/>
              <w:ind w:left="0"/>
              <w:jc w:val="left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RCO50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BF0B7A4" w14:textId="77777777" w:rsidR="0031326C" w:rsidRPr="005F2CD0" w:rsidRDefault="0031326C" w:rsidP="00F613A1">
            <w:pPr>
              <w:pStyle w:val="Text1"/>
              <w:ind w:left="0"/>
              <w:jc w:val="left"/>
              <w:rPr>
                <w:noProof/>
                <w:sz w:val="16"/>
              </w:rPr>
            </w:pPr>
            <w:r w:rsidRPr="005F2CD0">
              <w:rPr>
                <w:noProof/>
                <w:sz w:val="16"/>
              </w:rPr>
              <w:t>Długość linii kolejowych przebudowanych lub zmodernizowanych – inne</w:t>
            </w:r>
          </w:p>
        </w:tc>
        <w:tc>
          <w:tcPr>
            <w:tcW w:w="330" w:type="pct"/>
            <w:vAlign w:val="center"/>
          </w:tcPr>
          <w:p w14:paraId="1CC1E1C0" w14:textId="77777777" w:rsidR="0031326C" w:rsidRDefault="0031326C" w:rsidP="00F613A1">
            <w:pPr>
              <w:pStyle w:val="Text1"/>
              <w:ind w:left="0"/>
              <w:jc w:val="left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km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54FE4E0D" w14:textId="77777777" w:rsidR="0031326C" w:rsidRPr="00A55C61" w:rsidRDefault="0031326C" w:rsidP="00F613A1">
            <w:pPr>
              <w:pStyle w:val="Text1"/>
              <w:ind w:left="0"/>
              <w:jc w:val="right"/>
              <w:rPr>
                <w:noProof/>
                <w:sz w:val="16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B05379E" w14:textId="77777777" w:rsidR="0031326C" w:rsidRPr="00A55C61" w:rsidRDefault="0031326C" w:rsidP="00F613A1">
            <w:pPr>
              <w:pStyle w:val="Text1"/>
              <w:ind w:left="0"/>
              <w:jc w:val="right"/>
              <w:rPr>
                <w:noProof/>
                <w:sz w:val="16"/>
              </w:rPr>
            </w:pPr>
          </w:p>
        </w:tc>
      </w:tr>
    </w:tbl>
    <w:p w14:paraId="322DA858" w14:textId="4A9C3BEC" w:rsidR="006B72A4" w:rsidRDefault="006B72A4">
      <w:pPr>
        <w:spacing w:after="0"/>
        <w:rPr>
          <w:rFonts w:eastAsia="Times New Roman"/>
          <w:b/>
          <w:iCs/>
          <w:noProof/>
          <w:szCs w:val="24"/>
        </w:rPr>
      </w:pPr>
    </w:p>
    <w:p w14:paraId="66B39BA2" w14:textId="2AE9FF95" w:rsidR="0031326C" w:rsidRDefault="0031326C">
      <w:pPr>
        <w:spacing w:after="0"/>
        <w:rPr>
          <w:rFonts w:eastAsia="Times New Roman"/>
          <w:b/>
          <w:iCs/>
          <w:noProof/>
          <w:szCs w:val="24"/>
        </w:rPr>
      </w:pPr>
    </w:p>
    <w:p w14:paraId="6DFED097" w14:textId="076BBC1F" w:rsidR="0031326C" w:rsidRDefault="0031326C">
      <w:pPr>
        <w:spacing w:after="0"/>
        <w:rPr>
          <w:rFonts w:eastAsia="Times New Roman"/>
          <w:b/>
          <w:iCs/>
          <w:noProof/>
          <w:szCs w:val="24"/>
        </w:rPr>
      </w:pPr>
    </w:p>
    <w:p w14:paraId="4B1C936E" w14:textId="3306C89D" w:rsidR="0031326C" w:rsidRDefault="0031326C">
      <w:pPr>
        <w:spacing w:after="0"/>
        <w:rPr>
          <w:rFonts w:eastAsia="Times New Roman"/>
          <w:b/>
          <w:iCs/>
          <w:noProof/>
          <w:szCs w:val="24"/>
        </w:rPr>
      </w:pPr>
    </w:p>
    <w:p w14:paraId="264AFA6A" w14:textId="5F03A99F" w:rsidR="00486DF7" w:rsidRDefault="00486DF7">
      <w:pPr>
        <w:spacing w:after="0"/>
        <w:rPr>
          <w:rFonts w:eastAsia="Times New Roman"/>
          <w:b/>
          <w:iCs/>
          <w:noProof/>
          <w:szCs w:val="24"/>
        </w:rPr>
      </w:pPr>
    </w:p>
    <w:p w14:paraId="2A8F1A52" w14:textId="08E1A560" w:rsidR="00486DF7" w:rsidRDefault="00486DF7">
      <w:pPr>
        <w:spacing w:after="0"/>
        <w:rPr>
          <w:rFonts w:eastAsia="Times New Roman"/>
          <w:b/>
          <w:iCs/>
          <w:noProof/>
          <w:szCs w:val="24"/>
        </w:rPr>
      </w:pPr>
    </w:p>
    <w:p w14:paraId="53920A0C" w14:textId="77777777" w:rsidR="00486DF7" w:rsidRDefault="00486DF7">
      <w:pPr>
        <w:spacing w:after="0"/>
        <w:rPr>
          <w:rFonts w:eastAsia="Times New Roman"/>
          <w:b/>
          <w:iCs/>
          <w:noProof/>
          <w:szCs w:val="24"/>
        </w:rPr>
      </w:pPr>
    </w:p>
    <w:p w14:paraId="02EF7BFE" w14:textId="77777777" w:rsidR="0031326C" w:rsidRDefault="0031326C">
      <w:pPr>
        <w:spacing w:after="0"/>
        <w:rPr>
          <w:rFonts w:eastAsia="Times New Roman"/>
          <w:b/>
          <w:iCs/>
          <w:noProof/>
          <w:szCs w:val="24"/>
        </w:rPr>
      </w:pPr>
    </w:p>
    <w:tbl>
      <w:tblPr>
        <w:tblW w:w="594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700"/>
        <w:gridCol w:w="709"/>
        <w:gridCol w:w="1278"/>
        <w:gridCol w:w="849"/>
        <w:gridCol w:w="1134"/>
        <w:gridCol w:w="991"/>
        <w:gridCol w:w="709"/>
        <w:gridCol w:w="567"/>
        <w:gridCol w:w="567"/>
        <w:gridCol w:w="709"/>
        <w:gridCol w:w="711"/>
      </w:tblGrid>
      <w:tr w:rsidR="0031326C" w:rsidRPr="00A55C61" w14:paraId="3BC0FDCA" w14:textId="77777777" w:rsidTr="00F613A1">
        <w:trPr>
          <w:trHeight w:val="480"/>
        </w:trPr>
        <w:tc>
          <w:tcPr>
            <w:tcW w:w="5000" w:type="pct"/>
            <w:gridSpan w:val="12"/>
            <w:shd w:val="clear" w:color="auto" w:fill="D9D9D9" w:themeFill="background1" w:themeFillShade="D9"/>
            <w:vAlign w:val="center"/>
          </w:tcPr>
          <w:p w14:paraId="7CD969E9" w14:textId="77777777" w:rsidR="0031326C" w:rsidRPr="00A55C61" w:rsidRDefault="0031326C" w:rsidP="00F613A1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  <w:lang w:val="en-GB"/>
              </w:rPr>
              <w:t>Tabela 3: Wskaźniki rezultatów</w:t>
            </w:r>
          </w:p>
        </w:tc>
      </w:tr>
      <w:tr w:rsidR="0031326C" w:rsidRPr="00A55C61" w14:paraId="1C6D9796" w14:textId="77777777" w:rsidTr="00F613A1">
        <w:trPr>
          <w:trHeight w:val="1879"/>
        </w:trPr>
        <w:tc>
          <w:tcPr>
            <w:tcW w:w="395" w:type="pct"/>
            <w:shd w:val="clear" w:color="auto" w:fill="D9D9D9" w:themeFill="background1" w:themeFillShade="D9"/>
            <w:vAlign w:val="center"/>
          </w:tcPr>
          <w:p w14:paraId="75D508D1" w14:textId="77777777" w:rsidR="0031326C" w:rsidRPr="00A55C61" w:rsidRDefault="0031326C" w:rsidP="00F613A1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 xml:space="preserve">Priorytet </w:t>
            </w:r>
          </w:p>
        </w:tc>
        <w:tc>
          <w:tcPr>
            <w:tcW w:w="789" w:type="pct"/>
            <w:shd w:val="clear" w:color="auto" w:fill="D9D9D9" w:themeFill="background1" w:themeFillShade="D9"/>
            <w:vAlign w:val="center"/>
          </w:tcPr>
          <w:p w14:paraId="08C04359" w14:textId="77777777" w:rsidR="0031326C" w:rsidRPr="00A55C61" w:rsidRDefault="0031326C" w:rsidP="00F613A1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Cel szczegółowy (cel „Zatrudnienie i wzrost”) lub obszar wsparcia (EFMR)</w:t>
            </w: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14:paraId="52E465E7" w14:textId="77777777" w:rsidR="0031326C" w:rsidRPr="00A55C61" w:rsidRDefault="0031326C" w:rsidP="00F613A1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593" w:type="pct"/>
            <w:shd w:val="clear" w:color="auto" w:fill="D9D9D9" w:themeFill="background1" w:themeFillShade="D9"/>
            <w:vAlign w:val="center"/>
          </w:tcPr>
          <w:p w14:paraId="1F262E14" w14:textId="77777777" w:rsidR="0031326C" w:rsidRPr="00A55C61" w:rsidRDefault="0031326C" w:rsidP="00F613A1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394" w:type="pct"/>
            <w:shd w:val="clear" w:color="auto" w:fill="D9D9D9" w:themeFill="background1" w:themeFillShade="D9"/>
            <w:vAlign w:val="center"/>
          </w:tcPr>
          <w:p w14:paraId="16C282F8" w14:textId="77777777" w:rsidR="0031326C" w:rsidRPr="00A55C61" w:rsidRDefault="0031326C" w:rsidP="00F613A1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Nr identyfikacyjny [5]</w:t>
            </w:r>
          </w:p>
        </w:tc>
        <w:tc>
          <w:tcPr>
            <w:tcW w:w="526" w:type="pct"/>
            <w:shd w:val="clear" w:color="auto" w:fill="D9D9D9" w:themeFill="background1" w:themeFillShade="D9"/>
            <w:vAlign w:val="center"/>
          </w:tcPr>
          <w:p w14:paraId="3F27256E" w14:textId="77777777" w:rsidR="0031326C" w:rsidRPr="00A55C61" w:rsidRDefault="0031326C" w:rsidP="00F613A1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Wskaźnik [255]</w:t>
            </w:r>
          </w:p>
        </w:tc>
        <w:tc>
          <w:tcPr>
            <w:tcW w:w="460" w:type="pct"/>
            <w:shd w:val="clear" w:color="auto" w:fill="D9D9D9" w:themeFill="background1" w:themeFillShade="D9"/>
            <w:vAlign w:val="center"/>
          </w:tcPr>
          <w:p w14:paraId="5BD3D5C9" w14:textId="77777777" w:rsidR="0031326C" w:rsidRPr="00A55C61" w:rsidRDefault="0031326C" w:rsidP="00F613A1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Jednostka miary</w:t>
            </w: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14:paraId="68BD5E47" w14:textId="77777777" w:rsidR="0031326C" w:rsidRPr="00A55C61" w:rsidRDefault="0031326C" w:rsidP="00F613A1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Wartość bazowa lub wartość odniesienia</w:t>
            </w:r>
          </w:p>
        </w:tc>
        <w:tc>
          <w:tcPr>
            <w:tcW w:w="263" w:type="pct"/>
            <w:shd w:val="clear" w:color="auto" w:fill="D9D9D9" w:themeFill="background1" w:themeFillShade="D9"/>
            <w:vAlign w:val="center"/>
          </w:tcPr>
          <w:p w14:paraId="43D6B6F7" w14:textId="77777777" w:rsidR="0031326C" w:rsidRPr="00A55C61" w:rsidRDefault="0031326C" w:rsidP="00F613A1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Rok referencyjny</w:t>
            </w:r>
          </w:p>
        </w:tc>
        <w:tc>
          <w:tcPr>
            <w:tcW w:w="263" w:type="pct"/>
            <w:shd w:val="clear" w:color="auto" w:fill="D9D9D9" w:themeFill="background1" w:themeFillShade="D9"/>
            <w:vAlign w:val="center"/>
          </w:tcPr>
          <w:p w14:paraId="1F35EE29" w14:textId="77777777" w:rsidR="0031326C" w:rsidRPr="00A55C61" w:rsidRDefault="0031326C" w:rsidP="00F613A1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Cel (2029)</w:t>
            </w:r>
          </w:p>
          <w:p w14:paraId="72FE58DC" w14:textId="77777777" w:rsidR="0031326C" w:rsidRPr="00A55C61" w:rsidRDefault="0031326C" w:rsidP="00F613A1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14:paraId="22A3D214" w14:textId="77777777" w:rsidR="0031326C" w:rsidRPr="00A55C61" w:rsidRDefault="0031326C" w:rsidP="00F613A1">
            <w:pPr>
              <w:pStyle w:val="Text1"/>
              <w:spacing w:line="480" w:lineRule="auto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Źródło danych [200]</w:t>
            </w:r>
          </w:p>
        </w:tc>
        <w:tc>
          <w:tcPr>
            <w:tcW w:w="330" w:type="pct"/>
            <w:shd w:val="clear" w:color="auto" w:fill="D9D9D9" w:themeFill="background1" w:themeFillShade="D9"/>
            <w:vAlign w:val="center"/>
          </w:tcPr>
          <w:p w14:paraId="01BF214F" w14:textId="77777777" w:rsidR="0031326C" w:rsidRPr="00A55C61" w:rsidRDefault="0031326C" w:rsidP="00F613A1">
            <w:pPr>
              <w:pStyle w:val="Text1"/>
              <w:spacing w:line="480" w:lineRule="auto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Uwagi [200]</w:t>
            </w:r>
          </w:p>
        </w:tc>
      </w:tr>
      <w:tr w:rsidR="0031326C" w:rsidRPr="005F2CD0" w14:paraId="2CCECA32" w14:textId="77777777" w:rsidTr="00F613A1">
        <w:trPr>
          <w:trHeight w:val="985"/>
        </w:trPr>
        <w:tc>
          <w:tcPr>
            <w:tcW w:w="395" w:type="pct"/>
            <w:vAlign w:val="center"/>
          </w:tcPr>
          <w:p w14:paraId="32A32027" w14:textId="77777777" w:rsidR="0031326C" w:rsidRPr="005F2CD0" w:rsidRDefault="0031326C" w:rsidP="00F613A1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789" w:type="pct"/>
            <w:vAlign w:val="center"/>
          </w:tcPr>
          <w:p w14:paraId="371558C0" w14:textId="77777777" w:rsidR="0031326C" w:rsidRPr="005F2CD0" w:rsidRDefault="0031326C" w:rsidP="00F613A1">
            <w:pPr>
              <w:pStyle w:val="Text1"/>
              <w:ind w:left="0"/>
              <w:jc w:val="left"/>
              <w:rPr>
                <w:rFonts w:cs="Times New Roman"/>
                <w:b/>
                <w:sz w:val="16"/>
                <w:szCs w:val="16"/>
              </w:rPr>
            </w:pPr>
            <w:r w:rsidRPr="005F2CD0">
              <w:rPr>
                <w:b/>
                <w:noProof/>
                <w:sz w:val="16"/>
              </w:rPr>
              <w:t>(iii) Rozwój zrównoważonej, inteligentnej i intermodalnej mobilności odpornej na zmianę klimatu na szczeblu krajowym, regionalnym i lokalnym, w tym poprawa dostępu do sieci TEN-T i mobilności transgranicznej</w:t>
            </w:r>
          </w:p>
        </w:tc>
        <w:tc>
          <w:tcPr>
            <w:tcW w:w="329" w:type="pct"/>
            <w:vAlign w:val="center"/>
          </w:tcPr>
          <w:p w14:paraId="48FA9CC2" w14:textId="77777777" w:rsidR="0031326C" w:rsidRPr="005F2CD0" w:rsidRDefault="0031326C" w:rsidP="00F613A1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5F2CD0">
              <w:rPr>
                <w:rFonts w:cs="Times New Roman"/>
                <w:b/>
                <w:noProof/>
                <w:sz w:val="16"/>
                <w:szCs w:val="16"/>
              </w:rPr>
              <w:t>EFRR</w:t>
            </w:r>
          </w:p>
        </w:tc>
        <w:tc>
          <w:tcPr>
            <w:tcW w:w="593" w:type="pct"/>
            <w:vAlign w:val="center"/>
          </w:tcPr>
          <w:p w14:paraId="515CA49A" w14:textId="77777777" w:rsidR="0031326C" w:rsidRPr="005F2CD0" w:rsidRDefault="0031326C" w:rsidP="00F613A1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5F2CD0">
              <w:rPr>
                <w:b/>
                <w:noProof/>
                <w:sz w:val="16"/>
              </w:rPr>
              <w:t>Lepiej rozwinięte / Słabiej rozwinięte</w:t>
            </w:r>
          </w:p>
        </w:tc>
        <w:tc>
          <w:tcPr>
            <w:tcW w:w="394" w:type="pct"/>
            <w:vAlign w:val="center"/>
          </w:tcPr>
          <w:p w14:paraId="6A2397E3" w14:textId="77777777" w:rsidR="0031326C" w:rsidRPr="005F2CD0" w:rsidRDefault="0031326C" w:rsidP="00F613A1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5F2CD0">
              <w:rPr>
                <w:rFonts w:cs="Times New Roman"/>
                <w:b/>
                <w:noProof/>
                <w:sz w:val="16"/>
                <w:szCs w:val="16"/>
              </w:rPr>
              <w:t>CCR14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7286C78A" w14:textId="77777777" w:rsidR="0031326C" w:rsidRPr="005F2CD0" w:rsidRDefault="0031326C" w:rsidP="00F613A1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5F2CD0">
              <w:rPr>
                <w:rFonts w:cs="Times New Roman"/>
                <w:b/>
                <w:noProof/>
                <w:sz w:val="16"/>
                <w:szCs w:val="16"/>
              </w:rPr>
              <w:t>Roczna liczba pasażerów korzystających z ulepszonego transportu kolejowego</w:t>
            </w:r>
          </w:p>
        </w:tc>
        <w:tc>
          <w:tcPr>
            <w:tcW w:w="460" w:type="pct"/>
            <w:vAlign w:val="center"/>
          </w:tcPr>
          <w:p w14:paraId="37A1DE70" w14:textId="77777777" w:rsidR="0031326C" w:rsidRPr="005F2CD0" w:rsidRDefault="0031326C" w:rsidP="00F613A1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0E7338">
              <w:rPr>
                <w:rFonts w:cs="Times New Roman"/>
                <w:b/>
                <w:noProof/>
                <w:sz w:val="16"/>
                <w:szCs w:val="16"/>
              </w:rPr>
              <w:t>Osoby/rok</w:t>
            </w:r>
          </w:p>
        </w:tc>
        <w:tc>
          <w:tcPr>
            <w:tcW w:w="329" w:type="pct"/>
            <w:vAlign w:val="center"/>
          </w:tcPr>
          <w:p w14:paraId="57DF3857" w14:textId="77777777" w:rsidR="0031326C" w:rsidRPr="00D4545A" w:rsidRDefault="0031326C" w:rsidP="00F613A1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Nd.</w:t>
            </w:r>
          </w:p>
        </w:tc>
        <w:tc>
          <w:tcPr>
            <w:tcW w:w="263" w:type="pct"/>
            <w:vAlign w:val="center"/>
          </w:tcPr>
          <w:p w14:paraId="298150A7" w14:textId="77777777" w:rsidR="0031326C" w:rsidRPr="00D4545A" w:rsidRDefault="0031326C" w:rsidP="00F613A1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Nd.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60FFD17C" w14:textId="77777777" w:rsidR="0031326C" w:rsidRPr="005F2CD0" w:rsidRDefault="0031326C" w:rsidP="00F613A1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51147270" w14:textId="77777777" w:rsidR="0031326C" w:rsidRPr="005F2CD0" w:rsidRDefault="0031326C" w:rsidP="00F613A1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30" w:type="pct"/>
            <w:vAlign w:val="center"/>
          </w:tcPr>
          <w:p w14:paraId="18771E36" w14:textId="77777777" w:rsidR="0031326C" w:rsidRPr="005F2CD0" w:rsidRDefault="0031326C" w:rsidP="00F613A1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</w:tr>
      <w:tr w:rsidR="0031326C" w:rsidRPr="00A55C61" w14:paraId="14AC7353" w14:textId="77777777" w:rsidTr="00F613A1">
        <w:trPr>
          <w:trHeight w:val="985"/>
        </w:trPr>
        <w:tc>
          <w:tcPr>
            <w:tcW w:w="395" w:type="pct"/>
            <w:vAlign w:val="center"/>
          </w:tcPr>
          <w:p w14:paraId="142FAC12" w14:textId="77777777" w:rsidR="0031326C" w:rsidRPr="00A55C61" w:rsidRDefault="0031326C" w:rsidP="00F613A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789" w:type="pct"/>
            <w:vAlign w:val="center"/>
          </w:tcPr>
          <w:p w14:paraId="03E8E218" w14:textId="77777777" w:rsidR="0031326C" w:rsidRPr="000E7338" w:rsidRDefault="0031326C" w:rsidP="00F613A1">
            <w:pPr>
              <w:pStyle w:val="Text1"/>
              <w:ind w:left="0"/>
              <w:jc w:val="left"/>
              <w:rPr>
                <w:rFonts w:cs="Times New Roman"/>
                <w:sz w:val="16"/>
                <w:szCs w:val="16"/>
              </w:rPr>
            </w:pPr>
            <w:r w:rsidRPr="000E7338">
              <w:rPr>
                <w:noProof/>
                <w:sz w:val="16"/>
              </w:rPr>
              <w:t>(iii) Rozwój zrównoważonej, inteligentnej i intermodalnej mobilności odpornej na zmianę klimatu na szczeblu krajowym, regionalnym i lokalnym, w tym poprawa dostępu do sieci TEN-T i mobilności transgranicznej</w:t>
            </w:r>
          </w:p>
        </w:tc>
        <w:tc>
          <w:tcPr>
            <w:tcW w:w="329" w:type="pct"/>
            <w:vAlign w:val="center"/>
          </w:tcPr>
          <w:p w14:paraId="18366500" w14:textId="77777777" w:rsidR="0031326C" w:rsidRPr="00A55C61" w:rsidRDefault="0031326C" w:rsidP="00F613A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A55C61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593" w:type="pct"/>
            <w:vAlign w:val="center"/>
          </w:tcPr>
          <w:p w14:paraId="79CD5FE7" w14:textId="77777777" w:rsidR="0031326C" w:rsidRPr="000E7338" w:rsidRDefault="0031326C" w:rsidP="00F613A1">
            <w:pPr>
              <w:pStyle w:val="Text1"/>
              <w:ind w:left="0"/>
              <w:jc w:val="left"/>
              <w:rPr>
                <w:noProof/>
                <w:sz w:val="16"/>
              </w:rPr>
            </w:pPr>
            <w:r w:rsidRPr="000E7338">
              <w:rPr>
                <w:noProof/>
                <w:sz w:val="16"/>
              </w:rPr>
              <w:t>Lepiej rozwinięte / Słabiej rozwinięte</w:t>
            </w:r>
          </w:p>
        </w:tc>
        <w:tc>
          <w:tcPr>
            <w:tcW w:w="394" w:type="pct"/>
            <w:vAlign w:val="center"/>
          </w:tcPr>
          <w:p w14:paraId="56E515E1" w14:textId="77777777" w:rsidR="0031326C" w:rsidRPr="00A55C61" w:rsidRDefault="0031326C" w:rsidP="00F613A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RCR58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2D854769" w14:textId="77777777" w:rsidR="0031326C" w:rsidRPr="00A55C61" w:rsidRDefault="0031326C" w:rsidP="00F613A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5F2CD0">
              <w:rPr>
                <w:rFonts w:cs="Times New Roman"/>
                <w:noProof/>
                <w:sz w:val="16"/>
                <w:szCs w:val="16"/>
              </w:rPr>
              <w:t>Roczna liczba pasażerów na wspieranych liniach kolejowych</w:t>
            </w:r>
          </w:p>
        </w:tc>
        <w:tc>
          <w:tcPr>
            <w:tcW w:w="460" w:type="pct"/>
            <w:vAlign w:val="center"/>
          </w:tcPr>
          <w:p w14:paraId="6D11457C" w14:textId="77777777" w:rsidR="0031326C" w:rsidRPr="00A55C61" w:rsidRDefault="0031326C" w:rsidP="00F613A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Osoby/rok</w:t>
            </w:r>
          </w:p>
        </w:tc>
        <w:tc>
          <w:tcPr>
            <w:tcW w:w="329" w:type="pct"/>
            <w:vAlign w:val="center"/>
          </w:tcPr>
          <w:p w14:paraId="4AA384AE" w14:textId="77777777" w:rsidR="0031326C" w:rsidRPr="005F2CD0" w:rsidRDefault="0031326C" w:rsidP="00F613A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5F2CD0">
              <w:rPr>
                <w:rFonts w:cs="Times New Roman"/>
                <w:noProof/>
                <w:sz w:val="16"/>
                <w:szCs w:val="16"/>
              </w:rPr>
              <w:t>Nd.</w:t>
            </w:r>
          </w:p>
        </w:tc>
        <w:tc>
          <w:tcPr>
            <w:tcW w:w="263" w:type="pct"/>
            <w:vAlign w:val="center"/>
          </w:tcPr>
          <w:p w14:paraId="7E25F0EE" w14:textId="77777777" w:rsidR="0031326C" w:rsidRPr="005F2CD0" w:rsidRDefault="0031326C" w:rsidP="00F613A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5F2CD0">
              <w:rPr>
                <w:rFonts w:cs="Times New Roman"/>
                <w:noProof/>
                <w:sz w:val="16"/>
                <w:szCs w:val="16"/>
              </w:rPr>
              <w:t>Nd.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1098E5FB" w14:textId="77777777" w:rsidR="0031326C" w:rsidRPr="00A55C61" w:rsidRDefault="0031326C" w:rsidP="00F613A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54BB8A0D" w14:textId="77777777" w:rsidR="0031326C" w:rsidRPr="00A55C61" w:rsidRDefault="0031326C" w:rsidP="00F613A1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30" w:type="pct"/>
            <w:vAlign w:val="center"/>
          </w:tcPr>
          <w:p w14:paraId="39ABF395" w14:textId="77777777" w:rsidR="0031326C" w:rsidRPr="00A55C61" w:rsidRDefault="0031326C" w:rsidP="00F613A1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31326C" w:rsidRPr="00A55C61" w14:paraId="6A7EC064" w14:textId="77777777" w:rsidTr="00F613A1">
        <w:trPr>
          <w:trHeight w:val="985"/>
        </w:trPr>
        <w:tc>
          <w:tcPr>
            <w:tcW w:w="395" w:type="pct"/>
            <w:vAlign w:val="center"/>
          </w:tcPr>
          <w:p w14:paraId="36D0E29D" w14:textId="77777777" w:rsidR="0031326C" w:rsidRPr="00A55C61" w:rsidRDefault="0031326C" w:rsidP="00F613A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789" w:type="pct"/>
            <w:vAlign w:val="center"/>
          </w:tcPr>
          <w:p w14:paraId="06926200" w14:textId="77777777" w:rsidR="0031326C" w:rsidRPr="000E7338" w:rsidRDefault="0031326C" w:rsidP="00F613A1">
            <w:pPr>
              <w:pStyle w:val="Text1"/>
              <w:ind w:left="0"/>
              <w:jc w:val="left"/>
              <w:rPr>
                <w:rFonts w:cs="Times New Roman"/>
                <w:sz w:val="16"/>
                <w:szCs w:val="16"/>
              </w:rPr>
            </w:pPr>
            <w:r w:rsidRPr="000E7338">
              <w:rPr>
                <w:noProof/>
                <w:sz w:val="16"/>
              </w:rPr>
              <w:t>(iii) Rozwój zrównoważonej, inteligentnej i intermodalnej mobilności odpornej na zmianę klimatu na szczeblu krajowym, regionalnym i lokalnym, w tym poprawa dostępu do sieci TEN-T i mobilności transgranicznej</w:t>
            </w:r>
          </w:p>
        </w:tc>
        <w:tc>
          <w:tcPr>
            <w:tcW w:w="329" w:type="pct"/>
            <w:vAlign w:val="center"/>
          </w:tcPr>
          <w:p w14:paraId="38C65FFC" w14:textId="77777777" w:rsidR="0031326C" w:rsidRPr="00A55C61" w:rsidRDefault="0031326C" w:rsidP="00F613A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A55C61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593" w:type="pct"/>
            <w:vAlign w:val="center"/>
          </w:tcPr>
          <w:p w14:paraId="2D5D130D" w14:textId="77777777" w:rsidR="0031326C" w:rsidRPr="000E7338" w:rsidRDefault="0031326C" w:rsidP="00F613A1">
            <w:pPr>
              <w:pStyle w:val="Text1"/>
              <w:ind w:left="0"/>
              <w:jc w:val="left"/>
              <w:rPr>
                <w:noProof/>
                <w:sz w:val="16"/>
              </w:rPr>
            </w:pPr>
            <w:r w:rsidRPr="000E7338">
              <w:rPr>
                <w:noProof/>
                <w:sz w:val="16"/>
              </w:rPr>
              <w:t>Lepiej rozwinięte / Słabiej rozwinięte</w:t>
            </w:r>
          </w:p>
        </w:tc>
        <w:tc>
          <w:tcPr>
            <w:tcW w:w="394" w:type="pct"/>
            <w:vAlign w:val="center"/>
          </w:tcPr>
          <w:p w14:paraId="66B09EA8" w14:textId="77777777" w:rsidR="0031326C" w:rsidRPr="00A55C61" w:rsidRDefault="0031326C" w:rsidP="00F613A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RCR101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20C37112" w14:textId="77777777" w:rsidR="0031326C" w:rsidRPr="00A55C61" w:rsidRDefault="0031326C" w:rsidP="00F613A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5F2CD0">
              <w:rPr>
                <w:rFonts w:cs="Times New Roman"/>
                <w:noProof/>
                <w:sz w:val="16"/>
                <w:szCs w:val="16"/>
              </w:rPr>
              <w:t>Oszczędność czasu dzięki udoskonalonej infrastrukturze kolejowej</w:t>
            </w:r>
          </w:p>
        </w:tc>
        <w:tc>
          <w:tcPr>
            <w:tcW w:w="460" w:type="pct"/>
            <w:vAlign w:val="center"/>
          </w:tcPr>
          <w:p w14:paraId="04D57172" w14:textId="77777777" w:rsidR="0031326C" w:rsidRPr="00A55C61" w:rsidRDefault="0031326C" w:rsidP="00F613A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0E7338">
              <w:rPr>
                <w:rFonts w:cs="Times New Roman"/>
                <w:noProof/>
                <w:sz w:val="16"/>
                <w:szCs w:val="16"/>
              </w:rPr>
              <w:t>osobolata</w:t>
            </w:r>
          </w:p>
        </w:tc>
        <w:tc>
          <w:tcPr>
            <w:tcW w:w="329" w:type="pct"/>
            <w:vAlign w:val="center"/>
          </w:tcPr>
          <w:p w14:paraId="0B6DD4D8" w14:textId="77777777" w:rsidR="0031326C" w:rsidRPr="005F2CD0" w:rsidRDefault="0031326C" w:rsidP="00F613A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5F2CD0">
              <w:rPr>
                <w:rFonts w:cs="Times New Roman"/>
                <w:noProof/>
                <w:sz w:val="16"/>
                <w:szCs w:val="16"/>
              </w:rPr>
              <w:t>Nd.</w:t>
            </w:r>
          </w:p>
        </w:tc>
        <w:tc>
          <w:tcPr>
            <w:tcW w:w="263" w:type="pct"/>
            <w:vAlign w:val="center"/>
          </w:tcPr>
          <w:p w14:paraId="0F8B1F50" w14:textId="77777777" w:rsidR="0031326C" w:rsidRPr="005F2CD0" w:rsidRDefault="0031326C" w:rsidP="00F613A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5F2CD0">
              <w:rPr>
                <w:rFonts w:cs="Times New Roman"/>
                <w:noProof/>
                <w:sz w:val="16"/>
                <w:szCs w:val="16"/>
              </w:rPr>
              <w:t>Nd.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673D066B" w14:textId="77777777" w:rsidR="0031326C" w:rsidRPr="00A55C61" w:rsidRDefault="0031326C" w:rsidP="00F613A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2B2C2637" w14:textId="77777777" w:rsidR="0031326C" w:rsidRPr="00A55C61" w:rsidRDefault="0031326C" w:rsidP="00F613A1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30" w:type="pct"/>
            <w:vAlign w:val="center"/>
          </w:tcPr>
          <w:p w14:paraId="57C2E2AC" w14:textId="77777777" w:rsidR="0031326C" w:rsidRPr="00A55C61" w:rsidRDefault="0031326C" w:rsidP="00F613A1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</w:tbl>
    <w:p w14:paraId="09A3FFBA" w14:textId="77777777" w:rsidR="005C61CB" w:rsidRDefault="005C61CB" w:rsidP="005C61CB">
      <w:pPr>
        <w:spacing w:before="240" w:after="240"/>
        <w:rPr>
          <w:rFonts w:eastAsia="Times New Roman"/>
          <w:b/>
          <w:iCs/>
          <w:noProof/>
          <w:szCs w:val="24"/>
        </w:rPr>
      </w:pPr>
    </w:p>
    <w:p w14:paraId="7396276F" w14:textId="77777777" w:rsidR="005C61CB" w:rsidRDefault="005C61CB" w:rsidP="005C61CB">
      <w:pPr>
        <w:spacing w:before="240" w:after="240"/>
        <w:rPr>
          <w:rFonts w:eastAsia="Times New Roman"/>
          <w:b/>
          <w:iCs/>
          <w:noProof/>
          <w:szCs w:val="24"/>
          <w:u w:val="single"/>
        </w:rPr>
      </w:pPr>
      <w:r w:rsidRPr="005C61CB">
        <w:rPr>
          <w:rFonts w:eastAsia="Times New Roman"/>
          <w:b/>
          <w:iCs/>
          <w:noProof/>
          <w:szCs w:val="24"/>
          <w:u w:val="single"/>
        </w:rPr>
        <w:t>Załącznik 2 a</w:t>
      </w:r>
    </w:p>
    <w:p w14:paraId="6273B53F" w14:textId="77777777" w:rsidR="005C61CB" w:rsidRDefault="005C61CB" w:rsidP="005C61CB">
      <w:pPr>
        <w:spacing w:before="240" w:after="240"/>
        <w:rPr>
          <w:rFonts w:eastAsia="Times New Roman"/>
          <w:iCs/>
          <w:noProof/>
          <w:szCs w:val="24"/>
        </w:rPr>
      </w:pPr>
      <w:r w:rsidRPr="005C61CB">
        <w:rPr>
          <w:rFonts w:eastAsia="Times New Roman"/>
          <w:iCs/>
          <w:noProof/>
          <w:szCs w:val="24"/>
        </w:rPr>
        <w:t xml:space="preserve">Lista planowanych projaktów stretegicznych </w:t>
      </w:r>
      <w:r>
        <w:rPr>
          <w:rFonts w:eastAsia="Times New Roman"/>
          <w:iCs/>
          <w:noProof/>
          <w:szCs w:val="24"/>
        </w:rPr>
        <w:t xml:space="preserve"> </w:t>
      </w:r>
    </w:p>
    <w:p w14:paraId="0C6D5FB2" w14:textId="77777777" w:rsidR="008834D6" w:rsidRPr="00A73555" w:rsidRDefault="005C61CB" w:rsidP="005C61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bookmarkStart w:id="2" w:name="_GoBack"/>
      <w:r w:rsidRPr="00A73555">
        <w:rPr>
          <w:noProof/>
        </w:rPr>
        <w:t xml:space="preserve">Pole tekstowe [2 000] </w:t>
      </w:r>
    </w:p>
    <w:p w14:paraId="7EAB8829" w14:textId="77777777" w:rsidR="008834D6" w:rsidRPr="00A73555" w:rsidRDefault="008834D6" w:rsidP="008834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 w:rsidRPr="00A73555">
        <w:rPr>
          <w:noProof/>
        </w:rPr>
        <w:t>Lista planowanych projektów strategicznych planowanych przez Spółkę „Koleje Mazowieckie – KM”sp. z o.o.:</w:t>
      </w:r>
    </w:p>
    <w:p w14:paraId="15937E6A" w14:textId="78ED65DB" w:rsidR="008834D6" w:rsidRPr="00A73555" w:rsidRDefault="008834D6" w:rsidP="008834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 w:rsidRPr="00A73555">
        <w:rPr>
          <w:noProof/>
        </w:rPr>
        <w:t>•Zakup 25 sztuk pięcioczonowych elektrycznych zespołów trakcyjnych o przewidywanej pojemności ok. 260 miejsc siedzących na pojazd;</w:t>
      </w:r>
    </w:p>
    <w:p w14:paraId="566570D0" w14:textId="34626655" w:rsidR="008834D6" w:rsidRPr="00A73555" w:rsidRDefault="008834D6" w:rsidP="008834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 w:rsidRPr="00A73555">
        <w:rPr>
          <w:noProof/>
        </w:rPr>
        <w:t xml:space="preserve">•Zakup 15 sztuk czteroczłonowych piętrowych elektrycznych zespołów trakcyjnych </w:t>
      </w:r>
      <w:r w:rsidRPr="00A73555">
        <w:rPr>
          <w:noProof/>
        </w:rPr>
        <w:br/>
        <w:t>o przewidywanej pojemności ok. 350 miejsc siedzących na pojazd;</w:t>
      </w:r>
    </w:p>
    <w:p w14:paraId="0CA5C045" w14:textId="745547F6" w:rsidR="008834D6" w:rsidRPr="00A73555" w:rsidRDefault="008834D6" w:rsidP="008834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 w:rsidRPr="00A73555">
        <w:rPr>
          <w:noProof/>
        </w:rPr>
        <w:t xml:space="preserve">•Zakup 10 sztuk hybrydowych dwuczłonowych elektrycznych zespołów trakcyjnych </w:t>
      </w:r>
      <w:r w:rsidRPr="00A73555">
        <w:rPr>
          <w:noProof/>
        </w:rPr>
        <w:br/>
        <w:t>o przewidywanej pojemności ok. 150 miejsc siedzących na pojazd;</w:t>
      </w:r>
    </w:p>
    <w:p w14:paraId="4DCDCF56" w14:textId="75B985E1" w:rsidR="008834D6" w:rsidRPr="00A73555" w:rsidRDefault="008834D6" w:rsidP="008834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 w:rsidRPr="00A73555">
        <w:rPr>
          <w:noProof/>
        </w:rPr>
        <w:lastRenderedPageBreak/>
        <w:t>•Zakup 30 sztuk wagonów piętrowych do pociągów typu push – pull o przewidywanej pojemności ok. 136 miejsc siedzących na pojazd (wyłącznie wagony środkowe bez wagonów sterowniczych).</w:t>
      </w:r>
    </w:p>
    <w:p w14:paraId="6B97FFE4" w14:textId="1AE2E30C" w:rsidR="008834D6" w:rsidRPr="00A73555" w:rsidRDefault="008834D6" w:rsidP="008834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 w:rsidRPr="00A73555">
        <w:rPr>
          <w:noProof/>
        </w:rPr>
        <w:t>•Budowa bazy utrzymaniowo - naprawczej w Radomiu umozliwi wykonywanie przeglądów w poziomie utrzymania P1 i P2 oraz przeprowadzania napraw bieżących dla 10 szt. Dwuczłonowych elektrycznych zespołów trakcyjnych;</w:t>
      </w:r>
    </w:p>
    <w:p w14:paraId="4140AC03" w14:textId="69ABA029" w:rsidR="008834D6" w:rsidRPr="00A73555" w:rsidRDefault="008834D6" w:rsidP="008834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 w:rsidRPr="00A73555">
        <w:rPr>
          <w:noProof/>
        </w:rPr>
        <w:t>•Budowa bazy utrzamniowo - naprawczej w Sochaczewie wraz z myjnią taboru kolejowego umożliwi świadczenie usług utrzymania taboru kolejowego w poziomach P3 – P5;</w:t>
      </w:r>
    </w:p>
    <w:p w14:paraId="36F79F6F" w14:textId="58A69A16" w:rsidR="005C61CB" w:rsidRPr="00A73555" w:rsidRDefault="008834D6" w:rsidP="005C61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noProof/>
        </w:rPr>
      </w:pPr>
      <w:r w:rsidRPr="00A73555">
        <w:rPr>
          <w:noProof/>
        </w:rPr>
        <w:t>•Rozbudowa Sekcji Napraw i Eksploatacji Taboru Warszawa Grochów na potrzeby utrzymania użytkowanych pięcioczłonowych EZT, umożliwiająca optymalne wykorzystanie zaplecza technicznego, dostępnego terenu na potrzeby budowy torów postojowo – odstawczych oraz terenu pod budowę magazynu.</w:t>
      </w:r>
    </w:p>
    <w:bookmarkEnd w:id="2"/>
    <w:p w14:paraId="54AC278F" w14:textId="77777777" w:rsidR="006B72A4" w:rsidRDefault="006B72A4">
      <w:pPr>
        <w:spacing w:before="0" w:after="200" w:line="276" w:lineRule="auto"/>
        <w:jc w:val="left"/>
        <w:rPr>
          <w:rFonts w:eastAsia="Times New Roman"/>
          <w:b/>
          <w:noProof/>
        </w:rPr>
      </w:pPr>
    </w:p>
    <w:p w14:paraId="6B7688AA" w14:textId="77777777" w:rsidR="006B72A4" w:rsidRDefault="006B72A4">
      <w:pPr>
        <w:pStyle w:val="Akapitzlist"/>
        <w:ind w:left="778"/>
        <w:jc w:val="both"/>
        <w:rPr>
          <w:rFonts w:ascii="Times New Roman" w:eastAsia="Times New Roman" w:hAnsi="Times New Roman" w:cs="Times New Roman"/>
          <w:noProof/>
        </w:rPr>
      </w:pPr>
    </w:p>
    <w:sectPr w:rsidR="006B72A4" w:rsidSect="005C61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F89AE" w14:textId="77777777" w:rsidR="004066A0" w:rsidRDefault="004066A0">
      <w:pPr>
        <w:spacing w:before="0" w:after="0"/>
      </w:pPr>
      <w:r>
        <w:separator/>
      </w:r>
    </w:p>
  </w:endnote>
  <w:endnote w:type="continuationSeparator" w:id="0">
    <w:p w14:paraId="52387EF3" w14:textId="77777777" w:rsidR="004066A0" w:rsidRDefault="004066A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F5551" w14:textId="77777777" w:rsidR="00485432" w:rsidRDefault="004854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387305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A2C02D" w14:textId="63A7B5D4" w:rsidR="00485432" w:rsidRDefault="0048543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7C9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3B32862" w14:textId="77777777" w:rsidR="00485432" w:rsidRDefault="00485432">
    <w:pPr>
      <w:pStyle w:val="Stopka"/>
      <w:rPr>
        <w:rFonts w:ascii="Arial" w:hAnsi="Arial" w:cs="Arial"/>
        <w:b/>
        <w:sz w:val="4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12227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61E078" w14:textId="77777777" w:rsidR="00485432" w:rsidRDefault="0048543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160</w:t>
        </w:r>
        <w:r>
          <w:rPr>
            <w:noProof/>
          </w:rPr>
          <w:fldChar w:fldCharType="end"/>
        </w:r>
      </w:p>
    </w:sdtContent>
  </w:sdt>
  <w:p w14:paraId="70ED1B35" w14:textId="77777777" w:rsidR="00485432" w:rsidRDefault="00485432">
    <w:pPr>
      <w:pStyle w:val="FooterLandscap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D9394" w14:textId="77777777" w:rsidR="004066A0" w:rsidRDefault="004066A0">
      <w:pPr>
        <w:spacing w:before="0" w:after="0"/>
      </w:pPr>
      <w:r>
        <w:separator/>
      </w:r>
    </w:p>
  </w:footnote>
  <w:footnote w:type="continuationSeparator" w:id="0">
    <w:p w14:paraId="2E4B50D7" w14:textId="77777777" w:rsidR="004066A0" w:rsidRDefault="004066A0">
      <w:pPr>
        <w:spacing w:before="0" w:after="0"/>
      </w:pPr>
      <w:r>
        <w:continuationSeparator/>
      </w:r>
    </w:p>
  </w:footnote>
  <w:footnote w:id="1">
    <w:p w14:paraId="18B557CD" w14:textId="77777777" w:rsidR="00485432" w:rsidRDefault="00485432">
      <w:pPr>
        <w:pStyle w:val="Tekstprzypisudolnego"/>
      </w:pPr>
      <w:r>
        <w:rPr>
          <w:rStyle w:val="Odwoanieprzypisudolnego"/>
        </w:rPr>
        <w:footnoteRef/>
      </w:r>
      <w:r>
        <w:t xml:space="preserve"> Z wyjątkiem celu szczegółowego określonego w art. 4 ust. 1 lit. c) </w:t>
      </w:r>
      <w:proofErr w:type="spellStart"/>
      <w:r>
        <w:t>ppkt</w:t>
      </w:r>
      <w:proofErr w:type="spellEnd"/>
      <w:r>
        <w:t xml:space="preserve"> (vii) rozporządzenia EFS+.</w:t>
      </w:r>
    </w:p>
  </w:footnote>
  <w:footnote w:id="2">
    <w:p w14:paraId="39208626" w14:textId="04DC03F5" w:rsidR="00397935" w:rsidRDefault="00397935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="00E41C9A">
        <w:tab/>
      </w:r>
      <w:r w:rsidRPr="00397935">
        <w:t>W pr</w:t>
      </w:r>
      <w:r>
        <w:t xml:space="preserve">zypadku. gdy </w:t>
      </w:r>
      <w:r w:rsidR="00E41C9A">
        <w:t>wsparcie w oczekiwany zakres nie będzie kierowane z poziomu krajowego.</w:t>
      </w:r>
    </w:p>
  </w:footnote>
  <w:footnote w:id="3">
    <w:p w14:paraId="7FF6242B" w14:textId="77777777" w:rsidR="00485432" w:rsidRDefault="004854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Przed przeglądem śródokresowym w 2025 r. w przypadku EFRR, EFS + oraz Funduszu Spójności, podział na lata tylko w przedziale 2021–2025.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EC3E7" w14:textId="77777777" w:rsidR="00485432" w:rsidRDefault="004854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3E304" w14:textId="77777777" w:rsidR="00485432" w:rsidRDefault="0048543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45451" w14:textId="77777777" w:rsidR="00485432" w:rsidRDefault="00485432">
    <w:pPr>
      <w:pStyle w:val="HeaderLandscap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237360F"/>
    <w:multiLevelType w:val="hybridMultilevel"/>
    <w:tmpl w:val="46128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4B30D0"/>
    <w:multiLevelType w:val="hybridMultilevel"/>
    <w:tmpl w:val="93386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5652B5"/>
    <w:multiLevelType w:val="multilevel"/>
    <w:tmpl w:val="B10A6748"/>
    <w:lvl w:ilvl="0">
      <w:start w:val="1"/>
      <w:numFmt w:val="decimal"/>
      <w:pStyle w:val="Listanumerowana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6FB68D6"/>
    <w:multiLevelType w:val="hybridMultilevel"/>
    <w:tmpl w:val="7F6E24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333A5C"/>
    <w:multiLevelType w:val="hybridMultilevel"/>
    <w:tmpl w:val="1146F2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C78B8"/>
    <w:multiLevelType w:val="multilevel"/>
    <w:tmpl w:val="5C1E6B1C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3" w15:restartNumberingAfterBreak="0">
    <w:nsid w:val="1EED1E0D"/>
    <w:multiLevelType w:val="hybridMultilevel"/>
    <w:tmpl w:val="0C5C8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A4615"/>
    <w:multiLevelType w:val="multilevel"/>
    <w:tmpl w:val="E248887C"/>
    <w:lvl w:ilvl="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87" w:hanging="64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</w:rPr>
    </w:lvl>
  </w:abstractNum>
  <w:abstractNum w:abstractNumId="15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6" w15:restartNumberingAfterBreak="0">
    <w:nsid w:val="2BCA0F93"/>
    <w:multiLevelType w:val="hybridMultilevel"/>
    <w:tmpl w:val="6B54F6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8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9" w15:restartNumberingAfterBreak="0">
    <w:nsid w:val="2D4B46DE"/>
    <w:multiLevelType w:val="hybridMultilevel"/>
    <w:tmpl w:val="EDD20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4E1D62"/>
    <w:multiLevelType w:val="hybridMultilevel"/>
    <w:tmpl w:val="F7B6A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1D732F"/>
    <w:multiLevelType w:val="hybridMultilevel"/>
    <w:tmpl w:val="240C683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28415E7"/>
    <w:multiLevelType w:val="multilevel"/>
    <w:tmpl w:val="92100ADA"/>
    <w:lvl w:ilvl="0">
      <w:start w:val="1"/>
      <w:numFmt w:val="decimal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5" w15:restartNumberingAfterBreak="0">
    <w:nsid w:val="45481EA4"/>
    <w:multiLevelType w:val="multilevel"/>
    <w:tmpl w:val="28525E6E"/>
    <w:lvl w:ilvl="0">
      <w:start w:val="1"/>
      <w:numFmt w:val="decimal"/>
      <w:pStyle w:val="Listanumerowana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7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48860AAB"/>
    <w:multiLevelType w:val="multilevel"/>
    <w:tmpl w:val="E8744BD2"/>
    <w:lvl w:ilvl="0">
      <w:start w:val="1"/>
      <w:numFmt w:val="decimal"/>
      <w:pStyle w:val="Listanumerowana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A432656"/>
    <w:multiLevelType w:val="multilevel"/>
    <w:tmpl w:val="AC885D7A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A6B1FB0"/>
    <w:multiLevelType w:val="hybridMultilevel"/>
    <w:tmpl w:val="B1021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32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3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659300D9"/>
    <w:multiLevelType w:val="hybridMultilevel"/>
    <w:tmpl w:val="5A3081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5D7489A"/>
    <w:multiLevelType w:val="hybridMultilevel"/>
    <w:tmpl w:val="132A9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8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39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1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42" w15:restartNumberingAfterBreak="0">
    <w:nsid w:val="726565B6"/>
    <w:multiLevelType w:val="hybridMultilevel"/>
    <w:tmpl w:val="A670A2DC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43" w15:restartNumberingAfterBreak="0">
    <w:nsid w:val="729C2904"/>
    <w:multiLevelType w:val="hybridMultilevel"/>
    <w:tmpl w:val="C21ADF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67F4AB5"/>
    <w:multiLevelType w:val="hybridMultilevel"/>
    <w:tmpl w:val="6CAEDC20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StyleHeading3BoldNotItalic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4"/>
  </w:num>
  <w:num w:numId="2">
    <w:abstractNumId w:val="29"/>
  </w:num>
  <w:num w:numId="3">
    <w:abstractNumId w:val="44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7"/>
  </w:num>
  <w:num w:numId="12">
    <w:abstractNumId w:val="39"/>
  </w:num>
  <w:num w:numId="13">
    <w:abstractNumId w:val="38"/>
  </w:num>
  <w:num w:numId="14">
    <w:abstractNumId w:val="41"/>
  </w:num>
  <w:num w:numId="15">
    <w:abstractNumId w:val="15"/>
  </w:num>
  <w:num w:numId="16">
    <w:abstractNumId w:val="23"/>
  </w:num>
  <w:num w:numId="17">
    <w:abstractNumId w:val="27"/>
  </w:num>
  <w:num w:numId="18">
    <w:abstractNumId w:val="25"/>
  </w:num>
  <w:num w:numId="19">
    <w:abstractNumId w:val="8"/>
  </w:num>
  <w:num w:numId="20">
    <w:abstractNumId w:val="28"/>
  </w:num>
  <w:num w:numId="21">
    <w:abstractNumId w:val="11"/>
  </w:num>
  <w:num w:numId="22">
    <w:abstractNumId w:val="26"/>
    <w:lvlOverride w:ilvl="0">
      <w:startOverride w:val="1"/>
    </w:lvlOverride>
  </w:num>
  <w:num w:numId="23">
    <w:abstractNumId w:val="34"/>
    <w:lvlOverride w:ilvl="0">
      <w:startOverride w:val="1"/>
    </w:lvlOverride>
  </w:num>
  <w:num w:numId="24">
    <w:abstractNumId w:val="22"/>
  </w:num>
  <w:num w:numId="25">
    <w:abstractNumId w:val="40"/>
  </w:num>
  <w:num w:numId="26">
    <w:abstractNumId w:val="18"/>
  </w:num>
  <w:num w:numId="27">
    <w:abstractNumId w:val="24"/>
  </w:num>
  <w:num w:numId="28">
    <w:abstractNumId w:val="32"/>
  </w:num>
  <w:num w:numId="29">
    <w:abstractNumId w:val="33"/>
  </w:num>
  <w:num w:numId="30">
    <w:abstractNumId w:val="17"/>
  </w:num>
  <w:num w:numId="31">
    <w:abstractNumId w:val="31"/>
  </w:num>
  <w:num w:numId="32">
    <w:abstractNumId w:val="45"/>
  </w:num>
  <w:num w:numId="33">
    <w:abstractNumId w:val="21"/>
  </w:num>
  <w:num w:numId="34">
    <w:abstractNumId w:val="42"/>
  </w:num>
  <w:num w:numId="35">
    <w:abstractNumId w:val="10"/>
  </w:num>
  <w:num w:numId="36">
    <w:abstractNumId w:val="20"/>
  </w:num>
  <w:num w:numId="37">
    <w:abstractNumId w:val="7"/>
  </w:num>
  <w:num w:numId="38">
    <w:abstractNumId w:val="9"/>
  </w:num>
  <w:num w:numId="39">
    <w:abstractNumId w:val="43"/>
  </w:num>
  <w:num w:numId="40">
    <w:abstractNumId w:val="30"/>
  </w:num>
  <w:num w:numId="41">
    <w:abstractNumId w:val="19"/>
  </w:num>
  <w:num w:numId="42">
    <w:abstractNumId w:val="35"/>
  </w:num>
  <w:num w:numId="43">
    <w:abstractNumId w:val="16"/>
  </w:num>
  <w:num w:numId="44">
    <w:abstractNumId w:val="36"/>
  </w:num>
  <w:num w:numId="45">
    <w:abstractNumId w:val="6"/>
  </w:num>
  <w:num w:numId="46">
    <w:abstractNumId w:val="1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hideSpellingErrors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Status" w:val="Green"/>
    <w:docVar w:name="LW_ACCOMPAGNANT.CP" w:val="do"/>
    <w:docVar w:name="LW_ANNEX_NBR_FIRST" w:val="1"/>
    <w:docVar w:name="LW_ANNEX_NBR_LAST" w:val="22"/>
    <w:docVar w:name="LW_ANNEX_UNIQUE" w:val="0"/>
    <w:docVar w:name="LW_CORRIGENDUM" w:val="&lt;UNUSED&gt;"/>
    <w:docVar w:name="LW_COVERPAGE_EXISTS" w:val="True"/>
    <w:docVar w:name="LW_COVERPAGE_GUID" w:val="229F5C03-2B36-4215-B067-F0B66BFF43C8"/>
    <w:docVar w:name="LW_COVERPAGE_TYPE" w:val="1"/>
    <w:docVar w:name="LW_CROSSREFERENCE" w:val="&lt;UNUSED&gt;"/>
    <w:docVar w:name="LW_DocType" w:val="NORMAL"/>
    <w:docVar w:name="LW_EMISSION" w:val="29.5.2018"/>
    <w:docVar w:name="LW_EMISSION_ISODATE" w:val="2018-05-29"/>
    <w:docVar w:name="LW_EMISSION_LOCATION" w:val="STR"/>
    <w:docVar w:name="LW_EMISSION_PREFIX" w:val="Strasburg, dnia "/>
    <w:docVar w:name="LW_EMISSION_SUFFIX" w:val="r."/>
    <w:docVar w:name="LW_ID_DOCTYPE_NONLW" w:val="CP-036"/>
    <w:docVar w:name="LW_LANGUE" w:val="PL"/>
    <w:docVar w:name="LW_LEVEL_OF_SENSITIVITY" w:val="Standard treatment"/>
    <w:docVar w:name="LW_NOM.INST" w:val="KOMISJA EUROPEJSKA"/>
    <w:docVar w:name="LW_NOM.INST_JOINTDOC" w:val="&lt;EMPTY&gt;"/>
    <w:docVar w:name="LW_OBJETACTEPRINCIPAL.CP" w:val="ustanawiaj\u261?cego wspólne przepisy dotycz\u261?ce Europejskiego Funduszu Rozwoju Regionalnego, Europejskiego Funduszu Spo\u322?ecznego Plus, Funduszu Spójno\u347?ci i Europejskiego Funduszu Morskiego i Rybackiego, a tak\u380?e przepisy finansowe na potrzeby tych funduszy oraz na potrzeby Funduszu Azylu i Migracji, Funduszu Bezpiecze\u324?stwa Wewn\u281?trznego i Instrumentu na rzecz Zarz\u261?dzania Granicami i Wiz"/>
    <w:docVar w:name="LW_PART_NBR" w:val="&lt;UNUSED&gt;"/>
    <w:docVar w:name="LW_PART_NBR_TOTAL" w:val="&lt;UNUSED&gt;"/>
    <w:docVar w:name="LW_REF.INST.NEW" w:val="COM"/>
    <w:docVar w:name="LW_REF.INST.NEW_ADOPTED" w:val="final"/>
    <w:docVar w:name="LW_REF.INST.NEW_TEXT" w:val="(2018) 375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 xsi:nil=&quot;true&quot; /&gt;_x000d__x000a_  &lt;limited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footnote xsi:nil=&quot;true&quot; /&gt;_x000d__x000a_  &lt;isRestricted&gt;false&lt;/isRestricted&gt;_x000d__x000a_&lt;/SensitivityLevel&gt;"/>
    <w:docVar w:name="LW_SUPERTITRE" w:val="&lt;UNUSED&gt;"/>
    <w:docVar w:name="LW_TITRE.OBJ.CP" w:val="&lt;UNUSED&gt;"/>
    <w:docVar w:name="LW_TYPE.DOC.CP" w:val="ZA\u321?\u260?CZNIKI_x000b_"/>
    <w:docVar w:name="LW_TYPEACTEPRINCIPAL.CP" w:val="wniosku dotycz\u261?cego_x000b__x000b_ROZPORZ\u260?DZENIA PARLAMENTU EUROPEJSKIEGO I RADY"/>
  </w:docVars>
  <w:rsids>
    <w:rsidRoot w:val="006B72A4"/>
    <w:rsid w:val="00004CF4"/>
    <w:rsid w:val="0000615B"/>
    <w:rsid w:val="00020989"/>
    <w:rsid w:val="00030E6C"/>
    <w:rsid w:val="00062B23"/>
    <w:rsid w:val="00063861"/>
    <w:rsid w:val="00081FBF"/>
    <w:rsid w:val="00093453"/>
    <w:rsid w:val="000D61E6"/>
    <w:rsid w:val="000E7BA4"/>
    <w:rsid w:val="0010737C"/>
    <w:rsid w:val="00137A6D"/>
    <w:rsid w:val="0014723D"/>
    <w:rsid w:val="00164B4D"/>
    <w:rsid w:val="001771DB"/>
    <w:rsid w:val="001B2458"/>
    <w:rsid w:val="001C2336"/>
    <w:rsid w:val="001D79A8"/>
    <w:rsid w:val="001F39AF"/>
    <w:rsid w:val="0020576B"/>
    <w:rsid w:val="00205CB1"/>
    <w:rsid w:val="00215019"/>
    <w:rsid w:val="00215053"/>
    <w:rsid w:val="00233211"/>
    <w:rsid w:val="00236CBA"/>
    <w:rsid w:val="00237C9D"/>
    <w:rsid w:val="00257F2C"/>
    <w:rsid w:val="00263759"/>
    <w:rsid w:val="002660B1"/>
    <w:rsid w:val="00270DA0"/>
    <w:rsid w:val="00275D46"/>
    <w:rsid w:val="00291D44"/>
    <w:rsid w:val="002949CE"/>
    <w:rsid w:val="002A119A"/>
    <w:rsid w:val="002B04B9"/>
    <w:rsid w:val="002B088E"/>
    <w:rsid w:val="002B2887"/>
    <w:rsid w:val="002B29D6"/>
    <w:rsid w:val="002C635E"/>
    <w:rsid w:val="002E4DA1"/>
    <w:rsid w:val="00305AEE"/>
    <w:rsid w:val="0030787A"/>
    <w:rsid w:val="0031326C"/>
    <w:rsid w:val="003607B4"/>
    <w:rsid w:val="0036219F"/>
    <w:rsid w:val="00364E48"/>
    <w:rsid w:val="00375AC0"/>
    <w:rsid w:val="0038632C"/>
    <w:rsid w:val="00397935"/>
    <w:rsid w:val="003B1883"/>
    <w:rsid w:val="003C4410"/>
    <w:rsid w:val="003E3D64"/>
    <w:rsid w:val="004039CC"/>
    <w:rsid w:val="004066A0"/>
    <w:rsid w:val="00416CDD"/>
    <w:rsid w:val="00421A44"/>
    <w:rsid w:val="0043453C"/>
    <w:rsid w:val="004368C8"/>
    <w:rsid w:val="00444D83"/>
    <w:rsid w:val="004605B3"/>
    <w:rsid w:val="004641EA"/>
    <w:rsid w:val="004739C7"/>
    <w:rsid w:val="0047715A"/>
    <w:rsid w:val="00477621"/>
    <w:rsid w:val="00477725"/>
    <w:rsid w:val="00485432"/>
    <w:rsid w:val="004854F7"/>
    <w:rsid w:val="00486DF7"/>
    <w:rsid w:val="004938C4"/>
    <w:rsid w:val="00494B8B"/>
    <w:rsid w:val="004C2FFF"/>
    <w:rsid w:val="004D0D28"/>
    <w:rsid w:val="004E5FBD"/>
    <w:rsid w:val="004F217D"/>
    <w:rsid w:val="004F5053"/>
    <w:rsid w:val="00527BE4"/>
    <w:rsid w:val="0056556C"/>
    <w:rsid w:val="00570BE2"/>
    <w:rsid w:val="00585522"/>
    <w:rsid w:val="005A6A02"/>
    <w:rsid w:val="005C61CB"/>
    <w:rsid w:val="005F151F"/>
    <w:rsid w:val="00626AAC"/>
    <w:rsid w:val="00652392"/>
    <w:rsid w:val="006671A1"/>
    <w:rsid w:val="00682752"/>
    <w:rsid w:val="006B4565"/>
    <w:rsid w:val="006B72A4"/>
    <w:rsid w:val="006E5E08"/>
    <w:rsid w:val="006E6BAA"/>
    <w:rsid w:val="00706E59"/>
    <w:rsid w:val="00713A64"/>
    <w:rsid w:val="0071419F"/>
    <w:rsid w:val="00717799"/>
    <w:rsid w:val="00723DF6"/>
    <w:rsid w:val="00726E7F"/>
    <w:rsid w:val="007320E9"/>
    <w:rsid w:val="00732FEA"/>
    <w:rsid w:val="0075710F"/>
    <w:rsid w:val="00797770"/>
    <w:rsid w:val="00797EB4"/>
    <w:rsid w:val="007A6804"/>
    <w:rsid w:val="007B2108"/>
    <w:rsid w:val="007F2BBB"/>
    <w:rsid w:val="007F4BE2"/>
    <w:rsid w:val="0080191E"/>
    <w:rsid w:val="0081492D"/>
    <w:rsid w:val="00826AB6"/>
    <w:rsid w:val="00826FF8"/>
    <w:rsid w:val="0085042C"/>
    <w:rsid w:val="00865875"/>
    <w:rsid w:val="00870997"/>
    <w:rsid w:val="008834D6"/>
    <w:rsid w:val="008A0C81"/>
    <w:rsid w:val="008B5414"/>
    <w:rsid w:val="008C7660"/>
    <w:rsid w:val="00912318"/>
    <w:rsid w:val="00955301"/>
    <w:rsid w:val="009B04BE"/>
    <w:rsid w:val="009B4D63"/>
    <w:rsid w:val="009C3169"/>
    <w:rsid w:val="009C6812"/>
    <w:rsid w:val="009D2CD5"/>
    <w:rsid w:val="009F200B"/>
    <w:rsid w:val="00A26631"/>
    <w:rsid w:val="00A412C2"/>
    <w:rsid w:val="00A55602"/>
    <w:rsid w:val="00A7032C"/>
    <w:rsid w:val="00A73555"/>
    <w:rsid w:val="00A959F2"/>
    <w:rsid w:val="00AA4F2D"/>
    <w:rsid w:val="00AC7CA7"/>
    <w:rsid w:val="00AE0F89"/>
    <w:rsid w:val="00AE1E6F"/>
    <w:rsid w:val="00AE1F03"/>
    <w:rsid w:val="00AE72DD"/>
    <w:rsid w:val="00AF39B1"/>
    <w:rsid w:val="00AF7BAE"/>
    <w:rsid w:val="00B06D06"/>
    <w:rsid w:val="00B167E6"/>
    <w:rsid w:val="00B177CF"/>
    <w:rsid w:val="00B54170"/>
    <w:rsid w:val="00B6314E"/>
    <w:rsid w:val="00B73279"/>
    <w:rsid w:val="00B749EE"/>
    <w:rsid w:val="00B83328"/>
    <w:rsid w:val="00B96794"/>
    <w:rsid w:val="00BA48A3"/>
    <w:rsid w:val="00BA7797"/>
    <w:rsid w:val="00BB44FB"/>
    <w:rsid w:val="00BC018C"/>
    <w:rsid w:val="00BC23D8"/>
    <w:rsid w:val="00BC78D7"/>
    <w:rsid w:val="00BC7CBE"/>
    <w:rsid w:val="00BE5B89"/>
    <w:rsid w:val="00BE735E"/>
    <w:rsid w:val="00BF30A0"/>
    <w:rsid w:val="00C036C5"/>
    <w:rsid w:val="00C07609"/>
    <w:rsid w:val="00C12E16"/>
    <w:rsid w:val="00C14437"/>
    <w:rsid w:val="00C36F32"/>
    <w:rsid w:val="00C61218"/>
    <w:rsid w:val="00C967FD"/>
    <w:rsid w:val="00CA1EDC"/>
    <w:rsid w:val="00CA2F72"/>
    <w:rsid w:val="00CA7EA2"/>
    <w:rsid w:val="00CC10C7"/>
    <w:rsid w:val="00CC4A22"/>
    <w:rsid w:val="00CD6105"/>
    <w:rsid w:val="00D05006"/>
    <w:rsid w:val="00D06D6A"/>
    <w:rsid w:val="00D142DE"/>
    <w:rsid w:val="00D158B8"/>
    <w:rsid w:val="00D218E0"/>
    <w:rsid w:val="00D51990"/>
    <w:rsid w:val="00D564F4"/>
    <w:rsid w:val="00D7349F"/>
    <w:rsid w:val="00D80293"/>
    <w:rsid w:val="00DB5AC1"/>
    <w:rsid w:val="00DC325A"/>
    <w:rsid w:val="00DC58EB"/>
    <w:rsid w:val="00DC77B1"/>
    <w:rsid w:val="00DD2DF1"/>
    <w:rsid w:val="00DE0E2E"/>
    <w:rsid w:val="00DF6A2A"/>
    <w:rsid w:val="00E026A3"/>
    <w:rsid w:val="00E41C9A"/>
    <w:rsid w:val="00E52D36"/>
    <w:rsid w:val="00E53F0A"/>
    <w:rsid w:val="00E62A77"/>
    <w:rsid w:val="00E7400F"/>
    <w:rsid w:val="00E87DC7"/>
    <w:rsid w:val="00EA11BB"/>
    <w:rsid w:val="00EA1444"/>
    <w:rsid w:val="00EA2032"/>
    <w:rsid w:val="00EA2D74"/>
    <w:rsid w:val="00EC4E06"/>
    <w:rsid w:val="00EE7902"/>
    <w:rsid w:val="00EF51C9"/>
    <w:rsid w:val="00F134AE"/>
    <w:rsid w:val="00F3143A"/>
    <w:rsid w:val="00F7012B"/>
    <w:rsid w:val="00F879DA"/>
    <w:rsid w:val="00FA6E29"/>
    <w:rsid w:val="00FB0F8C"/>
    <w:rsid w:val="00FB6465"/>
    <w:rsid w:val="00FB70DB"/>
    <w:rsid w:val="00FD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EA82BC"/>
  <w15:docId w15:val="{E21832CB-F0F8-4A9B-A2E4-40040C78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2"/>
      </w:numPr>
      <w:spacing w:before="240" w:after="240"/>
      <w:outlineLvl w:val="0"/>
    </w:pPr>
    <w:rPr>
      <w:rFonts w:eastAsia="Times New Roman"/>
      <w:b/>
      <w:smallCaps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numPr>
        <w:ilvl w:val="1"/>
        <w:numId w:val="2"/>
      </w:numPr>
      <w:spacing w:before="0" w:after="240"/>
      <w:outlineLvl w:val="1"/>
    </w:pPr>
    <w:rPr>
      <w:rFonts w:eastAsia="Times New Roman"/>
      <w:b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numPr>
        <w:ilvl w:val="2"/>
        <w:numId w:val="2"/>
      </w:numPr>
      <w:spacing w:before="0" w:after="240"/>
      <w:outlineLvl w:val="2"/>
    </w:pPr>
    <w:rPr>
      <w:rFonts w:eastAsia="Times New Roman"/>
      <w:i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numPr>
        <w:ilvl w:val="3"/>
        <w:numId w:val="2"/>
      </w:numPr>
      <w:spacing w:before="0" w:after="240"/>
      <w:outlineLvl w:val="3"/>
    </w:pPr>
    <w:rPr>
      <w:rFonts w:eastAsia="Times New Roman"/>
    </w:rPr>
  </w:style>
  <w:style w:type="paragraph" w:styleId="Nagwek5">
    <w:name w:val="heading 5"/>
    <w:basedOn w:val="Normalny"/>
    <w:next w:val="Normalny"/>
    <w:link w:val="Nagwek5Znak"/>
    <w:qFormat/>
    <w:pPr>
      <w:spacing w:before="240" w:after="60"/>
      <w:ind w:left="1008" w:hanging="1008"/>
      <w:outlineLvl w:val="4"/>
    </w:pPr>
    <w:rPr>
      <w:rFonts w:ascii="Arial" w:eastAsia="Times New Roman" w:hAnsi="Arial"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ind w:left="1152" w:hanging="1152"/>
      <w:outlineLvl w:val="5"/>
    </w:pPr>
    <w:rPr>
      <w:rFonts w:ascii="Arial" w:eastAsia="Times New Roman" w:hAnsi="Arial"/>
      <w:i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spacing w:before="240" w:after="60"/>
      <w:ind w:left="1296" w:hanging="1296"/>
      <w:outlineLvl w:val="6"/>
    </w:pPr>
    <w:rPr>
      <w:rFonts w:ascii="Arial" w:eastAsia="Times New Roman" w:hAnsi="Arial"/>
      <w:sz w:val="20"/>
      <w:szCs w:val="22"/>
    </w:rPr>
  </w:style>
  <w:style w:type="paragraph" w:styleId="Nagwek8">
    <w:name w:val="heading 8"/>
    <w:basedOn w:val="Normalny"/>
    <w:next w:val="Normalny"/>
    <w:link w:val="Nagwek8Znak"/>
    <w:qFormat/>
    <w:pPr>
      <w:spacing w:before="240" w:after="60"/>
      <w:ind w:left="1440" w:hanging="1440"/>
      <w:outlineLvl w:val="7"/>
    </w:pPr>
    <w:rPr>
      <w:rFonts w:ascii="Arial" w:eastAsia="Times New Roman" w:hAnsi="Arial"/>
      <w:i/>
      <w:sz w:val="20"/>
      <w:szCs w:val="22"/>
    </w:rPr>
  </w:style>
  <w:style w:type="paragraph" w:styleId="Nagwek9">
    <w:name w:val="heading 9"/>
    <w:basedOn w:val="Normalny"/>
    <w:next w:val="Normalny"/>
    <w:link w:val="Nagwek9Znak"/>
    <w:qFormat/>
    <w:pPr>
      <w:spacing w:before="240" w:after="60"/>
      <w:ind w:left="1584" w:hanging="1584"/>
      <w:outlineLvl w:val="8"/>
    </w:pPr>
    <w:rPr>
      <w:rFonts w:ascii="Arial" w:eastAsia="Times New Roman" w:hAnsi="Arial"/>
      <w:i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Pr>
      <w:rFonts w:ascii="Arial" w:eastAsia="Times New Roman" w:hAnsi="Arial" w:cs="Times New Roman"/>
      <w:lang w:eastAsia="pl-PL"/>
    </w:rPr>
  </w:style>
  <w:style w:type="character" w:customStyle="1" w:styleId="Nagwek6Znak">
    <w:name w:val="Nagłówek 6 Znak"/>
    <w:basedOn w:val="Domylnaczcionkaakapitu"/>
    <w:link w:val="Nagwek6"/>
    <w:rPr>
      <w:rFonts w:ascii="Arial" w:eastAsia="Times New Roman" w:hAnsi="Arial" w:cs="Times New Roman"/>
      <w:i/>
      <w:lang w:eastAsia="pl-PL"/>
    </w:rPr>
  </w:style>
  <w:style w:type="character" w:customStyle="1" w:styleId="Nagwek7Znak">
    <w:name w:val="Nagłówek 7 Znak"/>
    <w:basedOn w:val="Domylnaczcionkaakapitu"/>
    <w:link w:val="Nagwek7"/>
    <w:rPr>
      <w:rFonts w:ascii="Arial" w:eastAsia="Times New Roman" w:hAnsi="Arial" w:cs="Times New Roman"/>
      <w:sz w:val="20"/>
      <w:lang w:eastAsia="pl-PL"/>
    </w:rPr>
  </w:style>
  <w:style w:type="character" w:customStyle="1" w:styleId="Nagwek8Znak">
    <w:name w:val="Nagłówek 8 Znak"/>
    <w:basedOn w:val="Domylnaczcionkaakapitu"/>
    <w:link w:val="Nagwek8"/>
    <w:rPr>
      <w:rFonts w:ascii="Arial" w:eastAsia="Times New Roman" w:hAnsi="Arial" w:cs="Times New Roman"/>
      <w:i/>
      <w:sz w:val="20"/>
      <w:lang w:eastAsia="pl-PL"/>
    </w:rPr>
  </w:style>
  <w:style w:type="character" w:customStyle="1" w:styleId="Nagwek9Znak">
    <w:name w:val="Nagłówek 9 Znak"/>
    <w:basedOn w:val="Domylnaczcionkaakapitu"/>
    <w:link w:val="Nagwek9"/>
    <w:rPr>
      <w:rFonts w:ascii="Arial" w:eastAsia="Times New Roman" w:hAnsi="Arial" w:cs="Times New Roman"/>
      <w:i/>
      <w:sz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5"/>
        <w:tab w:val="right" w:pos="9071"/>
      </w:tabs>
      <w:spacing w:before="0"/>
    </w:pPr>
    <w:rPr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2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Calibri" w:hAnsi="Times New Roman" w:cs="Times New Roman"/>
      <w:sz w:val="24"/>
    </w:rPr>
  </w:style>
  <w:style w:type="paragraph" w:styleId="Tekstprzypisudolnego">
    <w:name w:val="footnote text"/>
    <w:aliases w:val="Schriftart: 9 pt,Schriftart: 10 pt,Schriftart: 8 pt,WB-Fußnotentext,FoodNote,ft,Footnote text,Footnote Text Char Char,Footnote Text Char1 Char Char,Footnote Text Char Char Char Char,fn,f,Char,Voetnoottekst Char,Footnote Text Char1"/>
    <w:basedOn w:val="Normalny"/>
    <w:link w:val="TekstprzypisudolnegoZnak"/>
    <w:uiPriority w:val="99"/>
    <w:unhideWhenUsed/>
    <w:pPr>
      <w:spacing w:before="0" w:after="0"/>
      <w:ind w:left="720" w:hanging="720"/>
    </w:pPr>
    <w:rPr>
      <w:sz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oodNote Znak,ft Znak,Footnote text Znak,Footnote Text Char Char Znak,Footnote Text Char1 Char Char Znak,fn Znak,f Znak,Char Znak"/>
    <w:basedOn w:val="Domylnaczcionkaakapitu"/>
    <w:link w:val="Tekstprzypisudolnego"/>
    <w:uiPriority w:val="99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,stylish"/>
    <w:uiPriority w:val="99"/>
    <w:unhideWhenUsed/>
    <w:qFormat/>
    <w:rPr>
      <w:shd w:val="clear" w:color="auto" w:fill="auto"/>
      <w:vertAlign w:val="superscript"/>
    </w:rPr>
  </w:style>
  <w:style w:type="paragraph" w:customStyle="1" w:styleId="NormalCentered">
    <w:name w:val="Normal Centered"/>
    <w:basedOn w:val="Normalny"/>
    <w:pPr>
      <w:jc w:val="center"/>
    </w:pPr>
  </w:style>
  <w:style w:type="paragraph" w:customStyle="1" w:styleId="Annexetitre">
    <w:name w:val="Annexe titre"/>
    <w:basedOn w:val="Normalny"/>
    <w:next w:val="Normalny"/>
    <w:link w:val="AnnexetitreChar"/>
    <w:pPr>
      <w:jc w:val="center"/>
    </w:pPr>
    <w:rPr>
      <w:b/>
      <w:u w:val="single"/>
    </w:rPr>
  </w:style>
  <w:style w:type="paragraph" w:customStyle="1" w:styleId="Pagedecouverture">
    <w:name w:val="Page de couverture"/>
    <w:basedOn w:val="Normalny"/>
    <w:next w:val="Normalny"/>
    <w:pPr>
      <w:spacing w:before="0" w:after="0"/>
    </w:pPr>
  </w:style>
  <w:style w:type="character" w:customStyle="1" w:styleId="Marker">
    <w:name w:val="Marker"/>
    <w:basedOn w:val="Domylnaczcionkaakapitu"/>
    <w:rPr>
      <w:color w:val="0000FF"/>
      <w:shd w:val="clear" w:color="auto" w:fill="auto"/>
    </w:rPr>
  </w:style>
  <w:style w:type="paragraph" w:customStyle="1" w:styleId="FooterCoverPage">
    <w:name w:val="Footer Cover Page"/>
    <w:basedOn w:val="Normalny"/>
    <w:link w:val="FooterCoverPageChar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AnnexetitreChar">
    <w:name w:val="Annexe titre Char"/>
    <w:basedOn w:val="Domylnaczcionkaakapitu"/>
    <w:link w:val="Annexetitre"/>
    <w:rPr>
      <w:rFonts w:ascii="Times New Roman" w:eastAsia="Calibri" w:hAnsi="Times New Roman" w:cs="Times New Roman"/>
      <w:b/>
      <w:sz w:val="24"/>
      <w:szCs w:val="20"/>
      <w:u w:val="single"/>
      <w:lang w:eastAsia="pl-PL"/>
    </w:rPr>
  </w:style>
  <w:style w:type="character" w:customStyle="1" w:styleId="FooterCoverPageChar">
    <w:name w:val="Footer Cover Page Char"/>
    <w:basedOn w:val="AnnexetitreChar"/>
    <w:link w:val="FooterCoverPage"/>
    <w:rPr>
      <w:rFonts w:ascii="Times New Roman" w:eastAsia="Calibri" w:hAnsi="Times New Roman" w:cs="Times New Roman"/>
      <w:b w:val="0"/>
      <w:sz w:val="24"/>
      <w:szCs w:val="20"/>
      <w:u w:val="single"/>
      <w:lang w:eastAsia="pl-PL"/>
    </w:rPr>
  </w:style>
  <w:style w:type="paragraph" w:customStyle="1" w:styleId="FooterSensitivity">
    <w:name w:val="Footer Sensitivity"/>
    <w:basedOn w:val="Normalny"/>
    <w:link w:val="Foot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character" w:customStyle="1" w:styleId="FooterSensitivityChar">
    <w:name w:val="Footer Sensitivity Char"/>
    <w:basedOn w:val="AnnexetitreChar"/>
    <w:link w:val="FooterSensitivity"/>
    <w:rPr>
      <w:rFonts w:ascii="Times New Roman" w:eastAsia="Calibri" w:hAnsi="Times New Roman" w:cs="Times New Roman"/>
      <w:b/>
      <w:sz w:val="32"/>
      <w:szCs w:val="20"/>
      <w:u w:val="single"/>
      <w:lang w:eastAsia="pl-PL"/>
    </w:rPr>
  </w:style>
  <w:style w:type="paragraph" w:customStyle="1" w:styleId="HeaderCoverPage">
    <w:name w:val="Header Cover Page"/>
    <w:basedOn w:val="Normalny"/>
    <w:link w:val="HeaderCoverPageChar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AnnexetitreChar"/>
    <w:link w:val="HeaderCoverPage"/>
    <w:rPr>
      <w:rFonts w:ascii="Times New Roman" w:eastAsia="Calibri" w:hAnsi="Times New Roman" w:cs="Times New Roman"/>
      <w:b w:val="0"/>
      <w:sz w:val="24"/>
      <w:szCs w:val="20"/>
      <w:u w:val="single"/>
      <w:lang w:eastAsia="pl-PL"/>
    </w:rPr>
  </w:style>
  <w:style w:type="paragraph" w:customStyle="1" w:styleId="HeaderSensitivity">
    <w:name w:val="Header Sensitivity"/>
    <w:basedOn w:val="Normalny"/>
    <w:link w:val="Head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character" w:customStyle="1" w:styleId="HeaderSensitivityChar">
    <w:name w:val="Header Sensitivity Char"/>
    <w:basedOn w:val="AnnexetitreChar"/>
    <w:link w:val="HeaderSensitivity"/>
    <w:rPr>
      <w:rFonts w:ascii="Times New Roman" w:eastAsia="Calibri" w:hAnsi="Times New Roman" w:cs="Times New Roman"/>
      <w:b/>
      <w:sz w:val="32"/>
      <w:szCs w:val="20"/>
      <w:u w:val="single"/>
      <w:lang w:eastAsia="pl-PL"/>
    </w:rPr>
  </w:style>
  <w:style w:type="table" w:styleId="Tabela-Siatka">
    <w:name w:val="Table Grid"/>
    <w:basedOn w:val="Standardowy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eastAsia="Calibri" w:hAnsi="Tahoma" w:cs="Tahoma"/>
      <w:sz w:val="16"/>
      <w:szCs w:val="16"/>
      <w:lang w:eastAsia="pl-PL"/>
    </w:rPr>
  </w:style>
  <w:style w:type="paragraph" w:customStyle="1" w:styleId="HeaderLandscape">
    <w:name w:val="HeaderLandscape"/>
    <w:basedOn w:val="Normalny"/>
    <w:pPr>
      <w:tabs>
        <w:tab w:val="center" w:pos="7285"/>
        <w:tab w:val="right" w:pos="14003"/>
      </w:tabs>
      <w:spacing w:before="0"/>
    </w:pPr>
    <w:rPr>
      <w:rFonts w:eastAsiaTheme="minorHAnsi"/>
      <w:szCs w:val="22"/>
    </w:rPr>
  </w:style>
  <w:style w:type="paragraph" w:customStyle="1" w:styleId="FooterLandscape">
    <w:name w:val="FooterLandscape"/>
    <w:basedOn w:val="Normalny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  <w:rPr>
      <w:rFonts w:eastAsiaTheme="minorHAnsi"/>
      <w:szCs w:val="22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ny"/>
    <w:link w:val="AkapitzlistZnak"/>
    <w:uiPriority w:val="1"/>
    <w:qFormat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1"/>
    <w:qFormat/>
    <w:locked/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before="0" w:after="200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character" w:customStyle="1" w:styleId="Text1Char">
    <w:name w:val="Text 1 Char"/>
    <w:link w:val="Text1"/>
    <w:locked/>
    <w:rPr>
      <w:rFonts w:ascii="Times New Roman" w:hAnsi="Times New Roman"/>
      <w:sz w:val="24"/>
    </w:rPr>
  </w:style>
  <w:style w:type="paragraph" w:customStyle="1" w:styleId="Text1">
    <w:name w:val="Text 1"/>
    <w:basedOn w:val="Normalny"/>
    <w:link w:val="Text1Char"/>
    <w:pPr>
      <w:ind w:left="850"/>
    </w:pPr>
    <w:rPr>
      <w:rFonts w:eastAsiaTheme="minorHAnsi" w:cstheme="minorBidi"/>
      <w:szCs w:val="22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autoSpaceDE w:val="0"/>
      <w:autoSpaceDN w:val="0"/>
      <w:adjustRightInd w:val="0"/>
      <w:spacing w:before="0" w:after="0"/>
      <w:jc w:val="left"/>
    </w:pPr>
    <w:rPr>
      <w:rFonts w:ascii="EUAlbertina" w:eastAsia="Times New Roman" w:hAnsi="EUAlbertina"/>
      <w:szCs w:val="24"/>
    </w:rPr>
  </w:style>
  <w:style w:type="paragraph" w:customStyle="1" w:styleId="NumPar1">
    <w:name w:val="NumPar 1"/>
    <w:basedOn w:val="Normalny"/>
    <w:next w:val="Normalny"/>
    <w:pPr>
      <w:ind w:left="850"/>
    </w:pPr>
    <w:rPr>
      <w:rFonts w:eastAsiaTheme="minorHAnsi"/>
      <w:szCs w:val="22"/>
    </w:rPr>
  </w:style>
  <w:style w:type="paragraph" w:customStyle="1" w:styleId="Point0number">
    <w:name w:val="Point 0 (number)"/>
    <w:basedOn w:val="Normalny"/>
    <w:pPr>
      <w:numPr>
        <w:numId w:val="4"/>
      </w:numPr>
    </w:pPr>
    <w:rPr>
      <w:rFonts w:eastAsiaTheme="minorHAnsi"/>
      <w:szCs w:val="22"/>
    </w:rPr>
  </w:style>
  <w:style w:type="paragraph" w:customStyle="1" w:styleId="Point1number">
    <w:name w:val="Point 1 (number)"/>
    <w:basedOn w:val="Normalny"/>
    <w:pPr>
      <w:numPr>
        <w:ilvl w:val="2"/>
        <w:numId w:val="4"/>
      </w:numPr>
    </w:pPr>
    <w:rPr>
      <w:rFonts w:eastAsiaTheme="minorHAnsi"/>
      <w:szCs w:val="22"/>
    </w:rPr>
  </w:style>
  <w:style w:type="paragraph" w:customStyle="1" w:styleId="Point2number">
    <w:name w:val="Point 2 (number)"/>
    <w:basedOn w:val="Normalny"/>
    <w:pPr>
      <w:numPr>
        <w:ilvl w:val="4"/>
        <w:numId w:val="4"/>
      </w:numPr>
    </w:pPr>
    <w:rPr>
      <w:rFonts w:eastAsiaTheme="minorHAnsi"/>
      <w:szCs w:val="22"/>
    </w:rPr>
  </w:style>
  <w:style w:type="paragraph" w:customStyle="1" w:styleId="Point3number">
    <w:name w:val="Point 3 (number)"/>
    <w:basedOn w:val="Normalny"/>
    <w:pPr>
      <w:numPr>
        <w:ilvl w:val="6"/>
        <w:numId w:val="4"/>
      </w:numPr>
    </w:pPr>
    <w:rPr>
      <w:rFonts w:eastAsiaTheme="minorHAnsi"/>
      <w:szCs w:val="22"/>
    </w:rPr>
  </w:style>
  <w:style w:type="paragraph" w:customStyle="1" w:styleId="Point0letter">
    <w:name w:val="Point 0 (letter)"/>
    <w:basedOn w:val="Normalny"/>
    <w:pPr>
      <w:numPr>
        <w:ilvl w:val="1"/>
        <w:numId w:val="4"/>
      </w:numPr>
    </w:pPr>
    <w:rPr>
      <w:rFonts w:eastAsiaTheme="minorHAnsi"/>
      <w:szCs w:val="22"/>
    </w:rPr>
  </w:style>
  <w:style w:type="paragraph" w:customStyle="1" w:styleId="Point1letter">
    <w:name w:val="Point 1 (letter)"/>
    <w:basedOn w:val="Normalny"/>
    <w:pPr>
      <w:numPr>
        <w:ilvl w:val="3"/>
        <w:numId w:val="4"/>
      </w:numPr>
    </w:pPr>
    <w:rPr>
      <w:rFonts w:eastAsiaTheme="minorHAnsi"/>
      <w:szCs w:val="22"/>
    </w:rPr>
  </w:style>
  <w:style w:type="paragraph" w:customStyle="1" w:styleId="Point3letter">
    <w:name w:val="Point 3 (letter)"/>
    <w:basedOn w:val="Normalny"/>
    <w:pPr>
      <w:numPr>
        <w:ilvl w:val="7"/>
        <w:numId w:val="4"/>
      </w:numPr>
    </w:pPr>
    <w:rPr>
      <w:rFonts w:eastAsiaTheme="minorHAnsi"/>
      <w:szCs w:val="22"/>
    </w:rPr>
  </w:style>
  <w:style w:type="paragraph" w:customStyle="1" w:styleId="Point4letter">
    <w:name w:val="Point 4 (letter)"/>
    <w:basedOn w:val="Normalny"/>
    <w:pPr>
      <w:numPr>
        <w:ilvl w:val="8"/>
        <w:numId w:val="4"/>
      </w:numPr>
    </w:pPr>
    <w:rPr>
      <w:rFonts w:eastAsiaTheme="minorHAnsi"/>
      <w:szCs w:val="22"/>
    </w:rPr>
  </w:style>
  <w:style w:type="character" w:styleId="Numerstrony">
    <w:name w:val="page number"/>
  </w:style>
  <w:style w:type="paragraph" w:styleId="Tytu">
    <w:name w:val="Title"/>
    <w:basedOn w:val="Normalny"/>
    <w:link w:val="TytuZnak"/>
    <w:qFormat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2"/>
    </w:rPr>
  </w:style>
  <w:style w:type="character" w:customStyle="1" w:styleId="TytuZnak">
    <w:name w:val="Tytuł Znak"/>
    <w:basedOn w:val="Domylnaczcionkaakapitu"/>
    <w:link w:val="Tytu"/>
    <w:rPr>
      <w:rFonts w:ascii="Arial" w:eastAsia="Times New Roman" w:hAnsi="Arial" w:cs="Times New Roman"/>
      <w:b/>
      <w:kern w:val="28"/>
      <w:sz w:val="32"/>
      <w:lang w:eastAsia="pl-PL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Pr>
      <w:b/>
      <w:bCs/>
      <w:sz w:val="20"/>
      <w:szCs w:val="20"/>
    </w:rPr>
  </w:style>
  <w:style w:type="paragraph" w:styleId="Listapunktowana">
    <w:name w:val="List Bullet"/>
    <w:basedOn w:val="Normalny"/>
    <w:unhideWhenUsed/>
    <w:pPr>
      <w:numPr>
        <w:numId w:val="5"/>
      </w:numPr>
      <w:contextualSpacing/>
    </w:pPr>
    <w:rPr>
      <w:szCs w:val="22"/>
    </w:rPr>
  </w:style>
  <w:style w:type="paragraph" w:styleId="Listapunktowana2">
    <w:name w:val="List Bullet 2"/>
    <w:basedOn w:val="Normalny"/>
    <w:unhideWhenUsed/>
    <w:pPr>
      <w:numPr>
        <w:numId w:val="6"/>
      </w:numPr>
      <w:contextualSpacing/>
    </w:pPr>
    <w:rPr>
      <w:szCs w:val="22"/>
    </w:rPr>
  </w:style>
  <w:style w:type="paragraph" w:styleId="Listapunktowana3">
    <w:name w:val="List Bullet 3"/>
    <w:basedOn w:val="Normalny"/>
    <w:unhideWhenUsed/>
    <w:pPr>
      <w:numPr>
        <w:numId w:val="7"/>
      </w:numPr>
      <w:contextualSpacing/>
    </w:pPr>
    <w:rPr>
      <w:szCs w:val="22"/>
    </w:rPr>
  </w:style>
  <w:style w:type="paragraph" w:styleId="Listapunktowana4">
    <w:name w:val="List Bullet 4"/>
    <w:basedOn w:val="Normalny"/>
    <w:unhideWhenUsed/>
    <w:pPr>
      <w:numPr>
        <w:numId w:val="8"/>
      </w:numPr>
      <w:contextualSpacing/>
    </w:pPr>
    <w:rPr>
      <w:szCs w:val="22"/>
    </w:rPr>
  </w:style>
  <w:style w:type="paragraph" w:customStyle="1" w:styleId="AddressTL">
    <w:name w:val="AddressTL"/>
    <w:basedOn w:val="Normalny"/>
    <w:next w:val="Normalny"/>
    <w:pPr>
      <w:spacing w:before="0" w:after="720"/>
      <w:jc w:val="left"/>
    </w:pPr>
    <w:rPr>
      <w:rFonts w:eastAsia="Times New Roman"/>
      <w:szCs w:val="22"/>
    </w:rPr>
  </w:style>
  <w:style w:type="paragraph" w:customStyle="1" w:styleId="AddressTR">
    <w:name w:val="AddressTR"/>
    <w:basedOn w:val="Normalny"/>
    <w:next w:val="Normalny"/>
    <w:pPr>
      <w:spacing w:before="0" w:after="720"/>
      <w:ind w:left="5103"/>
      <w:jc w:val="left"/>
    </w:pPr>
    <w:rPr>
      <w:rFonts w:eastAsia="Times New Roman"/>
      <w:szCs w:val="22"/>
    </w:rPr>
  </w:style>
  <w:style w:type="paragraph" w:styleId="Tekstblokowy">
    <w:name w:val="Block Text"/>
    <w:basedOn w:val="Normalny"/>
    <w:pPr>
      <w:spacing w:before="0"/>
      <w:ind w:left="1440" w:right="1440"/>
    </w:pPr>
    <w:rPr>
      <w:rFonts w:eastAsia="Times New Roman"/>
      <w:szCs w:val="22"/>
    </w:rPr>
  </w:style>
  <w:style w:type="paragraph" w:styleId="Tekstpodstawowy">
    <w:name w:val="Body Text"/>
    <w:basedOn w:val="Normalny"/>
    <w:link w:val="TekstpodstawowyZnak"/>
    <w:pPr>
      <w:spacing w:before="0"/>
    </w:pPr>
    <w:rPr>
      <w:rFonts w:eastAsia="Times New Roman"/>
      <w:szCs w:val="22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pPr>
      <w:spacing w:before="0" w:line="480" w:lineRule="auto"/>
    </w:pPr>
    <w:rPr>
      <w:rFonts w:eastAsia="Times New Roman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3">
    <w:name w:val="Body Text 3"/>
    <w:basedOn w:val="Normalny"/>
    <w:link w:val="Tekstpodstawowy3Znak"/>
    <w:pPr>
      <w:spacing w:before="0"/>
    </w:pPr>
    <w:rPr>
      <w:rFonts w:eastAsia="Times New Roman"/>
      <w:sz w:val="16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sz w:val="16"/>
      <w:lang w:eastAsia="pl-PL"/>
    </w:rPr>
  </w:style>
  <w:style w:type="paragraph" w:styleId="Tekstpodstawowyzwciciem">
    <w:name w:val="Body Text First Indent"/>
    <w:basedOn w:val="Tekstpodstawowy"/>
    <w:link w:val="TekstpodstawowyzwciciemZnak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pPr>
      <w:spacing w:before="0"/>
      <w:ind w:left="283"/>
    </w:pPr>
    <w:rPr>
      <w:rFonts w:eastAsia="Times New Roman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pPr>
      <w:spacing w:before="0" w:line="480" w:lineRule="auto"/>
      <w:ind w:left="283"/>
    </w:pPr>
    <w:rPr>
      <w:rFonts w:eastAsia="Times New Roman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3">
    <w:name w:val="Body Text Indent 3"/>
    <w:basedOn w:val="Normalny"/>
    <w:link w:val="Tekstpodstawowywcity3Znak"/>
    <w:pPr>
      <w:spacing w:before="0"/>
      <w:ind w:left="283"/>
    </w:pPr>
    <w:rPr>
      <w:rFonts w:eastAsia="Times New Roman"/>
      <w:sz w:val="16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Pr>
      <w:rFonts w:ascii="Times New Roman" w:eastAsia="Times New Roman" w:hAnsi="Times New Roman" w:cs="Times New Roman"/>
      <w:sz w:val="16"/>
      <w:lang w:eastAsia="pl-PL"/>
    </w:rPr>
  </w:style>
  <w:style w:type="paragraph" w:styleId="Legenda">
    <w:name w:val="caption"/>
    <w:basedOn w:val="Normalny"/>
    <w:next w:val="Normalny"/>
    <w:qFormat/>
    <w:rPr>
      <w:rFonts w:eastAsia="Times New Roman"/>
      <w:b/>
      <w:szCs w:val="22"/>
    </w:rPr>
  </w:style>
  <w:style w:type="paragraph" w:styleId="Zwrotpoegnalny">
    <w:name w:val="Closing"/>
    <w:basedOn w:val="Normalny"/>
    <w:next w:val="Podpis"/>
    <w:link w:val="ZwrotpoegnalnyZnak"/>
    <w:pPr>
      <w:tabs>
        <w:tab w:val="left" w:pos="5103"/>
      </w:tabs>
      <w:spacing w:before="240" w:after="240"/>
      <w:ind w:left="5103"/>
      <w:jc w:val="left"/>
    </w:pPr>
    <w:rPr>
      <w:rFonts w:eastAsia="Times New Roman"/>
      <w:szCs w:val="22"/>
    </w:rPr>
  </w:style>
  <w:style w:type="character" w:customStyle="1" w:styleId="ZwrotpoegnalnyZnak">
    <w:name w:val="Zwrot pożegnalny Znak"/>
    <w:basedOn w:val="Domylnaczcionkaakapitu"/>
    <w:link w:val="Zwrotpoegnalny"/>
    <w:rPr>
      <w:rFonts w:ascii="Times New Roman" w:eastAsia="Times New Roman" w:hAnsi="Times New Roman" w:cs="Times New Roman"/>
      <w:sz w:val="24"/>
      <w:lang w:eastAsia="pl-PL"/>
    </w:rPr>
  </w:style>
  <w:style w:type="paragraph" w:styleId="Podpis">
    <w:name w:val="Signature"/>
    <w:basedOn w:val="Normalny"/>
    <w:next w:val="Contact"/>
    <w:link w:val="PodpisZnak"/>
    <w:uiPriority w:val="99"/>
    <w:pPr>
      <w:tabs>
        <w:tab w:val="left" w:pos="5103"/>
      </w:tabs>
      <w:spacing w:before="1200" w:after="0"/>
      <w:ind w:left="5103"/>
      <w:jc w:val="center"/>
    </w:pPr>
    <w:rPr>
      <w:rFonts w:eastAsia="Times New Roman"/>
      <w:szCs w:val="22"/>
    </w:rPr>
  </w:style>
  <w:style w:type="character" w:customStyle="1" w:styleId="PodpisZnak">
    <w:name w:val="Podpis Znak"/>
    <w:basedOn w:val="Domylnaczcionkaakapitu"/>
    <w:link w:val="Podpis"/>
    <w:uiPriority w:val="99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Enclosures">
    <w:name w:val="Enclosures"/>
    <w:basedOn w:val="Normalny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customStyle="1" w:styleId="Participants">
    <w:name w:val="Participants"/>
    <w:basedOn w:val="Normalny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customStyle="1" w:styleId="Copies">
    <w:name w:val="Copies"/>
    <w:basedOn w:val="Normalny"/>
    <w:next w:val="Normalny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styleId="Data">
    <w:name w:val="Date"/>
    <w:basedOn w:val="Normalny"/>
    <w:next w:val="References"/>
    <w:link w:val="DataZnak"/>
    <w:pPr>
      <w:spacing w:before="0" w:after="0"/>
      <w:ind w:left="5103" w:right="-567"/>
      <w:jc w:val="left"/>
    </w:pPr>
    <w:rPr>
      <w:rFonts w:eastAsia="Times New Roman"/>
      <w:szCs w:val="22"/>
    </w:rPr>
  </w:style>
  <w:style w:type="character" w:customStyle="1" w:styleId="DataZnak">
    <w:name w:val="Data Znak"/>
    <w:basedOn w:val="Domylnaczcionkaakapitu"/>
    <w:link w:val="Data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References">
    <w:name w:val="References"/>
    <w:basedOn w:val="Normalny"/>
    <w:next w:val="AddressTR"/>
    <w:pPr>
      <w:spacing w:before="0" w:after="240"/>
      <w:ind w:left="5103"/>
      <w:jc w:val="left"/>
    </w:pPr>
    <w:rPr>
      <w:rFonts w:eastAsia="Times New Roman"/>
      <w:sz w:val="20"/>
      <w:szCs w:val="22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  <w:spacing w:before="0" w:after="240"/>
    </w:pPr>
    <w:rPr>
      <w:rFonts w:ascii="Tahoma" w:eastAsia="Times New Roman" w:hAnsi="Tahoma"/>
      <w:szCs w:val="22"/>
    </w:rPr>
  </w:style>
  <w:style w:type="character" w:customStyle="1" w:styleId="MapadokumentuZnak">
    <w:name w:val="Mapa dokumentu Znak"/>
    <w:basedOn w:val="Domylnaczcionkaakapitu"/>
    <w:link w:val="Mapadokumentu"/>
    <w:semiHidden/>
    <w:rPr>
      <w:rFonts w:ascii="Tahoma" w:eastAsia="Times New Roman" w:hAnsi="Tahoma" w:cs="Times New Roman"/>
      <w:sz w:val="24"/>
      <w:shd w:val="clear" w:color="auto" w:fill="000080"/>
      <w:lang w:eastAsia="pl-PL"/>
    </w:rPr>
  </w:style>
  <w:style w:type="paragraph" w:customStyle="1" w:styleId="DoubSign">
    <w:name w:val="DoubSign"/>
    <w:basedOn w:val="Normalny"/>
    <w:next w:val="Contact"/>
    <w:pPr>
      <w:tabs>
        <w:tab w:val="left" w:pos="5103"/>
      </w:tabs>
      <w:spacing w:before="1200" w:after="0"/>
      <w:jc w:val="left"/>
    </w:pPr>
    <w:rPr>
      <w:rFonts w:eastAsia="Times New Roman"/>
      <w:szCs w:val="22"/>
    </w:rPr>
  </w:style>
  <w:style w:type="paragraph" w:styleId="Tekstprzypisukocowego">
    <w:name w:val="endnote text"/>
    <w:basedOn w:val="Normalny"/>
    <w:link w:val="TekstprzypisukocowegoZnak"/>
    <w:semiHidden/>
    <w:pPr>
      <w:spacing w:before="0" w:after="240"/>
    </w:pPr>
    <w:rPr>
      <w:rFonts w:eastAsia="Times New Roman"/>
      <w:sz w:val="20"/>
      <w:szCs w:val="22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Pr>
      <w:rFonts w:ascii="Times New Roman" w:eastAsia="Times New Roman" w:hAnsi="Times New Roman" w:cs="Times New Roman"/>
      <w:sz w:val="20"/>
      <w:lang w:eastAsia="pl-PL"/>
    </w:rPr>
  </w:style>
  <w:style w:type="paragraph" w:styleId="Adresnakopercie">
    <w:name w:val="envelope address"/>
    <w:basedOn w:val="Normalny"/>
    <w:pPr>
      <w:framePr w:w="7920" w:h="1980" w:hRule="exact" w:hSpace="180" w:wrap="auto" w:hAnchor="page" w:xAlign="center" w:yAlign="bottom"/>
      <w:spacing w:before="0" w:after="0"/>
    </w:pPr>
    <w:rPr>
      <w:rFonts w:eastAsia="Times New Roman"/>
      <w:szCs w:val="22"/>
    </w:rPr>
  </w:style>
  <w:style w:type="paragraph" w:styleId="Adreszwrotnynakopercie">
    <w:name w:val="envelope return"/>
    <w:basedOn w:val="Normalny"/>
    <w:pPr>
      <w:spacing w:before="0" w:after="0"/>
    </w:pPr>
    <w:rPr>
      <w:rFonts w:eastAsia="Times New Roman"/>
      <w:sz w:val="20"/>
      <w:szCs w:val="22"/>
    </w:rPr>
  </w:style>
  <w:style w:type="paragraph" w:styleId="Indeks1">
    <w:name w:val="index 1"/>
    <w:basedOn w:val="Normalny"/>
    <w:next w:val="Normalny"/>
    <w:autoRedefine/>
    <w:semiHidden/>
    <w:pPr>
      <w:spacing w:before="0" w:after="240"/>
      <w:ind w:left="240" w:hanging="240"/>
    </w:pPr>
    <w:rPr>
      <w:rFonts w:eastAsia="Times New Roman"/>
      <w:szCs w:val="22"/>
    </w:rPr>
  </w:style>
  <w:style w:type="paragraph" w:styleId="Indeks2">
    <w:name w:val="index 2"/>
    <w:basedOn w:val="Normalny"/>
    <w:next w:val="Normalny"/>
    <w:autoRedefine/>
    <w:semiHidden/>
    <w:pPr>
      <w:spacing w:before="0" w:after="240"/>
      <w:ind w:left="480" w:hanging="240"/>
    </w:pPr>
    <w:rPr>
      <w:rFonts w:eastAsia="Times New Roman"/>
      <w:szCs w:val="22"/>
    </w:rPr>
  </w:style>
  <w:style w:type="paragraph" w:styleId="Indeks3">
    <w:name w:val="index 3"/>
    <w:basedOn w:val="Normalny"/>
    <w:next w:val="Normalny"/>
    <w:autoRedefine/>
    <w:semiHidden/>
    <w:pPr>
      <w:spacing w:before="0" w:after="240"/>
      <w:ind w:left="720" w:hanging="240"/>
    </w:pPr>
    <w:rPr>
      <w:rFonts w:eastAsia="Times New Roman"/>
      <w:szCs w:val="22"/>
    </w:rPr>
  </w:style>
  <w:style w:type="paragraph" w:styleId="Indeks4">
    <w:name w:val="index 4"/>
    <w:basedOn w:val="Normalny"/>
    <w:next w:val="Normalny"/>
    <w:autoRedefine/>
    <w:semiHidden/>
    <w:pPr>
      <w:spacing w:before="0" w:after="240"/>
      <w:ind w:left="960" w:hanging="240"/>
    </w:pPr>
    <w:rPr>
      <w:rFonts w:eastAsia="Times New Roman"/>
      <w:szCs w:val="22"/>
    </w:rPr>
  </w:style>
  <w:style w:type="paragraph" w:styleId="Indeks5">
    <w:name w:val="index 5"/>
    <w:basedOn w:val="Normalny"/>
    <w:next w:val="Normalny"/>
    <w:autoRedefine/>
    <w:semiHidden/>
    <w:pPr>
      <w:spacing w:before="0" w:after="240"/>
      <w:ind w:left="1200" w:hanging="240"/>
    </w:pPr>
    <w:rPr>
      <w:rFonts w:eastAsia="Times New Roman"/>
      <w:szCs w:val="22"/>
    </w:rPr>
  </w:style>
  <w:style w:type="paragraph" w:styleId="Indeks6">
    <w:name w:val="index 6"/>
    <w:basedOn w:val="Normalny"/>
    <w:next w:val="Normalny"/>
    <w:autoRedefine/>
    <w:semiHidden/>
    <w:pPr>
      <w:spacing w:before="0" w:after="240"/>
      <w:ind w:left="1440" w:hanging="240"/>
    </w:pPr>
    <w:rPr>
      <w:rFonts w:eastAsia="Times New Roman"/>
      <w:szCs w:val="22"/>
    </w:rPr>
  </w:style>
  <w:style w:type="paragraph" w:styleId="Indeks7">
    <w:name w:val="index 7"/>
    <w:basedOn w:val="Normalny"/>
    <w:next w:val="Normalny"/>
    <w:autoRedefine/>
    <w:semiHidden/>
    <w:pPr>
      <w:spacing w:before="0" w:after="240"/>
      <w:ind w:left="1680" w:hanging="240"/>
    </w:pPr>
    <w:rPr>
      <w:rFonts w:eastAsia="Times New Roman"/>
      <w:szCs w:val="22"/>
    </w:rPr>
  </w:style>
  <w:style w:type="paragraph" w:styleId="Indeks8">
    <w:name w:val="index 8"/>
    <w:basedOn w:val="Normalny"/>
    <w:next w:val="Normalny"/>
    <w:autoRedefine/>
    <w:semiHidden/>
    <w:pPr>
      <w:spacing w:before="0" w:after="240"/>
      <w:ind w:left="1920" w:hanging="240"/>
    </w:pPr>
    <w:rPr>
      <w:rFonts w:eastAsia="Times New Roman"/>
      <w:szCs w:val="22"/>
    </w:rPr>
  </w:style>
  <w:style w:type="paragraph" w:styleId="Indeks9">
    <w:name w:val="index 9"/>
    <w:basedOn w:val="Normalny"/>
    <w:next w:val="Normalny"/>
    <w:autoRedefine/>
    <w:semiHidden/>
    <w:pPr>
      <w:spacing w:before="0" w:after="240"/>
      <w:ind w:left="2160" w:hanging="240"/>
    </w:pPr>
    <w:rPr>
      <w:rFonts w:eastAsia="Times New Roman"/>
      <w:szCs w:val="22"/>
    </w:rPr>
  </w:style>
  <w:style w:type="paragraph" w:styleId="Nagwekindeksu">
    <w:name w:val="index heading"/>
    <w:basedOn w:val="Normalny"/>
    <w:next w:val="Indeks1"/>
    <w:semiHidden/>
    <w:pPr>
      <w:spacing w:before="0" w:after="240"/>
    </w:pPr>
    <w:rPr>
      <w:rFonts w:ascii="Arial" w:eastAsia="Times New Roman" w:hAnsi="Arial"/>
      <w:b/>
      <w:szCs w:val="22"/>
    </w:rPr>
  </w:style>
  <w:style w:type="paragraph" w:styleId="Lista">
    <w:name w:val="List"/>
    <w:basedOn w:val="Normalny"/>
    <w:pPr>
      <w:spacing w:before="0" w:after="240"/>
      <w:ind w:left="283" w:hanging="283"/>
    </w:pPr>
    <w:rPr>
      <w:rFonts w:eastAsia="Times New Roman"/>
      <w:szCs w:val="22"/>
    </w:rPr>
  </w:style>
  <w:style w:type="paragraph" w:styleId="Lista2">
    <w:name w:val="List 2"/>
    <w:basedOn w:val="Normalny"/>
    <w:pPr>
      <w:spacing w:before="0" w:after="240"/>
      <w:ind w:left="566" w:hanging="283"/>
    </w:pPr>
    <w:rPr>
      <w:rFonts w:eastAsia="Times New Roman"/>
      <w:szCs w:val="22"/>
    </w:rPr>
  </w:style>
  <w:style w:type="paragraph" w:styleId="Lista3">
    <w:name w:val="List 3"/>
    <w:basedOn w:val="Normalny"/>
    <w:pPr>
      <w:spacing w:before="0" w:after="240"/>
      <w:ind w:left="849" w:hanging="283"/>
    </w:pPr>
    <w:rPr>
      <w:rFonts w:eastAsia="Times New Roman"/>
      <w:szCs w:val="22"/>
    </w:rPr>
  </w:style>
  <w:style w:type="paragraph" w:styleId="Lista4">
    <w:name w:val="List 4"/>
    <w:basedOn w:val="Normalny"/>
    <w:pPr>
      <w:spacing w:before="0" w:after="240"/>
      <w:ind w:left="1132" w:hanging="283"/>
    </w:pPr>
    <w:rPr>
      <w:rFonts w:eastAsia="Times New Roman"/>
      <w:szCs w:val="22"/>
    </w:rPr>
  </w:style>
  <w:style w:type="paragraph" w:styleId="Lista5">
    <w:name w:val="List 5"/>
    <w:basedOn w:val="Normalny"/>
    <w:pPr>
      <w:spacing w:before="0" w:after="240"/>
      <w:ind w:left="1415" w:hanging="283"/>
    </w:pPr>
    <w:rPr>
      <w:rFonts w:eastAsia="Times New Roman"/>
      <w:szCs w:val="22"/>
    </w:rPr>
  </w:style>
  <w:style w:type="paragraph" w:styleId="Listapunktowana5">
    <w:name w:val="List Bullet 5"/>
    <w:basedOn w:val="Normalny"/>
    <w:autoRedefine/>
    <w:pPr>
      <w:numPr>
        <w:numId w:val="9"/>
      </w:numPr>
      <w:spacing w:before="0" w:after="240"/>
    </w:pPr>
    <w:rPr>
      <w:rFonts w:eastAsia="Times New Roman"/>
      <w:szCs w:val="22"/>
    </w:rPr>
  </w:style>
  <w:style w:type="paragraph" w:styleId="Lista-kontynuacja">
    <w:name w:val="List Continue"/>
    <w:basedOn w:val="Normalny"/>
    <w:pPr>
      <w:spacing w:before="0"/>
      <w:ind w:left="283"/>
    </w:pPr>
    <w:rPr>
      <w:rFonts w:eastAsia="Times New Roman"/>
      <w:szCs w:val="22"/>
    </w:rPr>
  </w:style>
  <w:style w:type="paragraph" w:styleId="Lista-kontynuacja2">
    <w:name w:val="List Continue 2"/>
    <w:basedOn w:val="Normalny"/>
    <w:pPr>
      <w:spacing w:before="0"/>
      <w:ind w:left="566"/>
    </w:pPr>
    <w:rPr>
      <w:rFonts w:eastAsia="Times New Roman"/>
      <w:szCs w:val="22"/>
    </w:rPr>
  </w:style>
  <w:style w:type="paragraph" w:styleId="Lista-kontynuacja3">
    <w:name w:val="List Continue 3"/>
    <w:basedOn w:val="Normalny"/>
    <w:pPr>
      <w:spacing w:before="0"/>
      <w:ind w:left="849"/>
    </w:pPr>
    <w:rPr>
      <w:rFonts w:eastAsia="Times New Roman"/>
      <w:szCs w:val="22"/>
    </w:rPr>
  </w:style>
  <w:style w:type="paragraph" w:styleId="Lista-kontynuacja4">
    <w:name w:val="List Continue 4"/>
    <w:basedOn w:val="Normalny"/>
    <w:pPr>
      <w:spacing w:before="0"/>
      <w:ind w:left="1132"/>
    </w:pPr>
    <w:rPr>
      <w:rFonts w:eastAsia="Times New Roman"/>
      <w:szCs w:val="22"/>
    </w:rPr>
  </w:style>
  <w:style w:type="paragraph" w:styleId="Lista-kontynuacja5">
    <w:name w:val="List Continue 5"/>
    <w:basedOn w:val="Normalny"/>
    <w:pPr>
      <w:spacing w:before="0"/>
      <w:ind w:left="1415"/>
    </w:pPr>
    <w:rPr>
      <w:rFonts w:eastAsia="Times New Roman"/>
      <w:szCs w:val="22"/>
    </w:rPr>
  </w:style>
  <w:style w:type="paragraph" w:styleId="Listanumerowana">
    <w:name w:val="List Number"/>
    <w:basedOn w:val="Normalny"/>
    <w:pPr>
      <w:numPr>
        <w:numId w:val="16"/>
      </w:numPr>
      <w:spacing w:before="0" w:after="240"/>
    </w:pPr>
    <w:rPr>
      <w:rFonts w:eastAsia="Times New Roman"/>
      <w:szCs w:val="22"/>
    </w:rPr>
  </w:style>
  <w:style w:type="paragraph" w:styleId="Listanumerowana2">
    <w:name w:val="List Number 2"/>
    <w:basedOn w:val="Text2"/>
    <w:pPr>
      <w:numPr>
        <w:numId w:val="18"/>
      </w:numPr>
      <w:spacing w:before="0" w:after="240"/>
    </w:pPr>
    <w:rPr>
      <w:rFonts w:eastAsia="Times New Roman"/>
    </w:rPr>
  </w:style>
  <w:style w:type="paragraph" w:styleId="Listanumerowana3">
    <w:name w:val="List Number 3"/>
    <w:basedOn w:val="Text3"/>
    <w:pPr>
      <w:numPr>
        <w:numId w:val="19"/>
      </w:numPr>
      <w:spacing w:before="0" w:after="240"/>
    </w:pPr>
    <w:rPr>
      <w:rFonts w:eastAsia="Times New Roman"/>
    </w:rPr>
  </w:style>
  <w:style w:type="paragraph" w:styleId="Listanumerowana4">
    <w:name w:val="List Number 4"/>
    <w:basedOn w:val="Text4"/>
    <w:pPr>
      <w:numPr>
        <w:numId w:val="20"/>
      </w:numPr>
      <w:spacing w:before="0" w:after="240"/>
    </w:pPr>
    <w:rPr>
      <w:rFonts w:eastAsia="Times New Roman"/>
    </w:rPr>
  </w:style>
  <w:style w:type="paragraph" w:styleId="Listanumerowana5">
    <w:name w:val="List Number 5"/>
    <w:basedOn w:val="Normalny"/>
    <w:pPr>
      <w:numPr>
        <w:numId w:val="10"/>
      </w:numPr>
      <w:spacing w:before="0" w:after="240"/>
    </w:pPr>
    <w:rPr>
      <w:rFonts w:eastAsia="Times New Roman"/>
      <w:szCs w:val="22"/>
    </w:rPr>
  </w:style>
  <w:style w:type="paragraph" w:styleId="Tekstmakra">
    <w:name w:val="macro"/>
    <w:link w:val="TekstmakraZnak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</w:rPr>
  </w:style>
  <w:style w:type="character" w:customStyle="1" w:styleId="TekstmakraZnak">
    <w:name w:val="Tekst makra Znak"/>
    <w:basedOn w:val="Domylnaczcionkaakapitu"/>
    <w:link w:val="Tekstmakra"/>
    <w:semiHidden/>
    <w:rPr>
      <w:rFonts w:ascii="Courier New" w:eastAsia="Times New Roman" w:hAnsi="Courier New" w:cs="Times New Roman"/>
    </w:rPr>
  </w:style>
  <w:style w:type="paragraph" w:styleId="Nagwekwiadomoci">
    <w:name w:val="Message Header"/>
    <w:basedOn w:val="Normalny"/>
    <w:link w:val="NagwekwiadomociZnak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szCs w:val="22"/>
    </w:rPr>
  </w:style>
  <w:style w:type="character" w:customStyle="1" w:styleId="NagwekwiadomociZnak">
    <w:name w:val="Nagłówek wiadomości Znak"/>
    <w:basedOn w:val="Domylnaczcionkaakapitu"/>
    <w:link w:val="Nagwekwiadomoci"/>
    <w:rPr>
      <w:rFonts w:ascii="Arial" w:eastAsia="Times New Roman" w:hAnsi="Arial" w:cs="Times New Roman"/>
      <w:sz w:val="24"/>
      <w:shd w:val="pct20" w:color="auto" w:fill="auto"/>
      <w:lang w:eastAsia="pl-PL"/>
    </w:rPr>
  </w:style>
  <w:style w:type="paragraph" w:styleId="Wcicienormalne">
    <w:name w:val="Normal Indent"/>
    <w:basedOn w:val="Normalny"/>
    <w:pPr>
      <w:spacing w:before="0" w:after="240"/>
      <w:ind w:left="720"/>
    </w:pPr>
    <w:rPr>
      <w:rFonts w:eastAsia="Times New Roman"/>
      <w:szCs w:val="22"/>
    </w:rPr>
  </w:style>
  <w:style w:type="paragraph" w:styleId="Nagweknotatki">
    <w:name w:val="Note Heading"/>
    <w:basedOn w:val="Normalny"/>
    <w:next w:val="Normalny"/>
    <w:link w:val="NagweknotatkiZnak"/>
    <w:pPr>
      <w:spacing w:before="0" w:after="240"/>
    </w:pPr>
    <w:rPr>
      <w:rFonts w:eastAsia="Times New Roman"/>
      <w:szCs w:val="22"/>
    </w:rPr>
  </w:style>
  <w:style w:type="character" w:customStyle="1" w:styleId="NagweknotatkiZnak">
    <w:name w:val="Nagłówek notatki Znak"/>
    <w:basedOn w:val="Domylnaczcionkaakapitu"/>
    <w:link w:val="Nagweknotatki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NoteHead">
    <w:name w:val="NoteHead"/>
    <w:basedOn w:val="Normalny"/>
    <w:next w:val="Subject"/>
    <w:pPr>
      <w:spacing w:before="720" w:after="720"/>
      <w:jc w:val="center"/>
    </w:pPr>
    <w:rPr>
      <w:rFonts w:eastAsia="Times New Roman"/>
      <w:b/>
      <w:smallCaps/>
      <w:szCs w:val="22"/>
    </w:rPr>
  </w:style>
  <w:style w:type="paragraph" w:customStyle="1" w:styleId="Subject">
    <w:name w:val="Subject"/>
    <w:basedOn w:val="Normalny"/>
    <w:next w:val="Normalny"/>
    <w:pPr>
      <w:spacing w:before="0" w:after="480"/>
      <w:ind w:left="1531" w:hanging="1531"/>
      <w:jc w:val="left"/>
    </w:pPr>
    <w:rPr>
      <w:rFonts w:eastAsia="Times New Roman"/>
      <w:b/>
      <w:szCs w:val="22"/>
    </w:rPr>
  </w:style>
  <w:style w:type="paragraph" w:customStyle="1" w:styleId="NoteList">
    <w:name w:val="NoteList"/>
    <w:basedOn w:val="Normalny"/>
    <w:next w:val="Subject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  <w:szCs w:val="22"/>
    </w:rPr>
  </w:style>
  <w:style w:type="paragraph" w:styleId="Zwykytekst">
    <w:name w:val="Plain Text"/>
    <w:basedOn w:val="Normalny"/>
    <w:link w:val="ZwykytekstZnak"/>
    <w:pPr>
      <w:spacing w:before="0" w:after="240"/>
    </w:pPr>
    <w:rPr>
      <w:rFonts w:ascii="Courier New" w:eastAsia="Times New Roman" w:hAnsi="Courier New"/>
      <w:sz w:val="20"/>
      <w:szCs w:val="22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eastAsia="Times New Roman" w:hAnsi="Courier New" w:cs="Times New Roman"/>
      <w:sz w:val="20"/>
      <w:lang w:eastAsia="pl-PL"/>
    </w:rPr>
  </w:style>
  <w:style w:type="paragraph" w:styleId="Zwrotgrzecznociowy">
    <w:name w:val="Salutation"/>
    <w:basedOn w:val="Normalny"/>
    <w:next w:val="Normalny"/>
    <w:link w:val="ZwrotgrzecznociowyZnak"/>
    <w:pPr>
      <w:spacing w:before="0" w:after="240"/>
    </w:pPr>
    <w:rPr>
      <w:rFonts w:eastAsia="Times New Roman"/>
      <w:szCs w:val="22"/>
    </w:rPr>
  </w:style>
  <w:style w:type="character" w:customStyle="1" w:styleId="ZwrotgrzecznociowyZnak">
    <w:name w:val="Zwrot grzecznościowy Znak"/>
    <w:basedOn w:val="Domylnaczcionkaakapitu"/>
    <w:link w:val="Zwrotgrzecznociowy"/>
    <w:rPr>
      <w:rFonts w:ascii="Times New Roman" w:eastAsia="Times New Roman" w:hAnsi="Times New Roman" w:cs="Times New Roman"/>
      <w:sz w:val="24"/>
      <w:lang w:eastAsia="pl-PL"/>
    </w:rPr>
  </w:style>
  <w:style w:type="paragraph" w:styleId="Podtytu">
    <w:name w:val="Subtitle"/>
    <w:basedOn w:val="Normalny"/>
    <w:link w:val="PodtytuZnak"/>
    <w:qFormat/>
    <w:pPr>
      <w:spacing w:before="0" w:after="60"/>
      <w:jc w:val="center"/>
      <w:outlineLvl w:val="1"/>
    </w:pPr>
    <w:rPr>
      <w:rFonts w:ascii="Arial" w:eastAsia="Times New Roman" w:hAnsi="Arial"/>
      <w:szCs w:val="22"/>
    </w:rPr>
  </w:style>
  <w:style w:type="character" w:customStyle="1" w:styleId="PodtytuZnak">
    <w:name w:val="Podtytuł Znak"/>
    <w:basedOn w:val="Domylnaczcionkaakapitu"/>
    <w:link w:val="Podtytu"/>
    <w:rPr>
      <w:rFonts w:ascii="Arial" w:eastAsia="Times New Roman" w:hAnsi="Arial" w:cs="Times New Roman"/>
      <w:sz w:val="24"/>
      <w:lang w:eastAsia="pl-PL"/>
    </w:rPr>
  </w:style>
  <w:style w:type="paragraph" w:styleId="Wykazrde">
    <w:name w:val="table of authorities"/>
    <w:basedOn w:val="Normalny"/>
    <w:next w:val="Normalny"/>
    <w:semiHidden/>
    <w:pPr>
      <w:spacing w:before="0" w:after="240"/>
      <w:ind w:left="240" w:hanging="240"/>
    </w:pPr>
    <w:rPr>
      <w:rFonts w:eastAsia="Times New Roman"/>
      <w:szCs w:val="22"/>
    </w:rPr>
  </w:style>
  <w:style w:type="paragraph" w:styleId="Spisilustracji">
    <w:name w:val="table of figures"/>
    <w:basedOn w:val="Normalny"/>
    <w:next w:val="Normalny"/>
    <w:semiHidden/>
    <w:pPr>
      <w:spacing w:before="0" w:after="240"/>
      <w:ind w:left="480" w:hanging="480"/>
    </w:pPr>
    <w:rPr>
      <w:rFonts w:eastAsia="Times New Roman"/>
      <w:szCs w:val="22"/>
    </w:rPr>
  </w:style>
  <w:style w:type="paragraph" w:styleId="Nagwekwykazurde">
    <w:name w:val="toa heading"/>
    <w:basedOn w:val="Normalny"/>
    <w:next w:val="Normalny"/>
    <w:semiHidden/>
    <w:pPr>
      <w:spacing w:after="240"/>
    </w:pPr>
    <w:rPr>
      <w:rFonts w:ascii="Arial" w:eastAsia="Times New Roman" w:hAnsi="Arial"/>
      <w:b/>
      <w:szCs w:val="22"/>
    </w:rPr>
  </w:style>
  <w:style w:type="paragraph" w:customStyle="1" w:styleId="YReferences">
    <w:name w:val="YReferences"/>
    <w:basedOn w:val="Normalny"/>
    <w:next w:val="Normalny"/>
    <w:pPr>
      <w:spacing w:before="0" w:after="480"/>
      <w:ind w:left="1531" w:hanging="1531"/>
    </w:pPr>
    <w:rPr>
      <w:rFonts w:eastAsia="Times New Roman"/>
      <w:szCs w:val="22"/>
    </w:rPr>
  </w:style>
  <w:style w:type="paragraph" w:customStyle="1" w:styleId="ListBullet1">
    <w:name w:val="List Bullet 1"/>
    <w:basedOn w:val="Text1"/>
    <w:pPr>
      <w:tabs>
        <w:tab w:val="num" w:pos="765"/>
      </w:tabs>
      <w:spacing w:before="0" w:after="240"/>
      <w:ind w:left="765" w:hanging="283"/>
    </w:pPr>
    <w:rPr>
      <w:rFonts w:eastAsia="Times New Roman" w:cs="Times New Roman"/>
    </w:rPr>
  </w:style>
  <w:style w:type="paragraph" w:customStyle="1" w:styleId="ListDash">
    <w:name w:val="List Dash"/>
    <w:basedOn w:val="Normalny"/>
    <w:pPr>
      <w:numPr>
        <w:numId w:val="11"/>
      </w:numPr>
      <w:spacing w:before="0" w:after="240"/>
    </w:pPr>
    <w:rPr>
      <w:rFonts w:eastAsia="Times New Roman"/>
      <w:szCs w:val="22"/>
    </w:rPr>
  </w:style>
  <w:style w:type="paragraph" w:customStyle="1" w:styleId="ListDash1">
    <w:name w:val="List Dash 1"/>
    <w:basedOn w:val="Text1"/>
    <w:pPr>
      <w:numPr>
        <w:numId w:val="12"/>
      </w:numPr>
      <w:spacing w:before="0" w:after="240"/>
    </w:pPr>
    <w:rPr>
      <w:rFonts w:eastAsia="Times New Roman" w:cs="Times New Roman"/>
    </w:rPr>
  </w:style>
  <w:style w:type="paragraph" w:customStyle="1" w:styleId="ListDash2">
    <w:name w:val="List Dash 2"/>
    <w:basedOn w:val="Text2"/>
    <w:pPr>
      <w:numPr>
        <w:numId w:val="13"/>
      </w:numPr>
      <w:spacing w:before="0" w:after="240"/>
    </w:pPr>
    <w:rPr>
      <w:rFonts w:eastAsia="Times New Roman"/>
    </w:rPr>
  </w:style>
  <w:style w:type="paragraph" w:customStyle="1" w:styleId="ListDash3">
    <w:name w:val="List Dash 3"/>
    <w:basedOn w:val="Text3"/>
    <w:pPr>
      <w:numPr>
        <w:numId w:val="14"/>
      </w:numPr>
      <w:spacing w:before="0" w:after="240"/>
    </w:pPr>
    <w:rPr>
      <w:rFonts w:eastAsia="Times New Roman"/>
    </w:rPr>
  </w:style>
  <w:style w:type="paragraph" w:customStyle="1" w:styleId="ListDash4">
    <w:name w:val="List Dash 4"/>
    <w:basedOn w:val="Text4"/>
    <w:pPr>
      <w:numPr>
        <w:numId w:val="15"/>
      </w:numPr>
      <w:spacing w:before="0" w:after="240"/>
    </w:pPr>
    <w:rPr>
      <w:rFonts w:eastAsia="Times New Roman"/>
    </w:rPr>
  </w:style>
  <w:style w:type="paragraph" w:customStyle="1" w:styleId="ListNumberLevel2">
    <w:name w:val="List Number (Level 2)"/>
    <w:basedOn w:val="Normalny"/>
    <w:pPr>
      <w:numPr>
        <w:ilvl w:val="1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Level3">
    <w:name w:val="List Number (Level 3)"/>
    <w:basedOn w:val="Normalny"/>
    <w:pPr>
      <w:numPr>
        <w:ilvl w:val="2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Level4">
    <w:name w:val="List Number (Level 4)"/>
    <w:basedOn w:val="Normalny"/>
    <w:pPr>
      <w:numPr>
        <w:ilvl w:val="3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1">
    <w:name w:val="List Number 1"/>
    <w:basedOn w:val="Text1"/>
    <w:pPr>
      <w:numPr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2">
    <w:name w:val="List Number 1 (Level 2)"/>
    <w:basedOn w:val="Text1"/>
    <w:pPr>
      <w:numPr>
        <w:ilvl w:val="1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3">
    <w:name w:val="List Number 1 (Level 3)"/>
    <w:basedOn w:val="Text1"/>
    <w:pPr>
      <w:numPr>
        <w:ilvl w:val="2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4">
    <w:name w:val="List Number 1 (Level 4)"/>
    <w:basedOn w:val="Text1"/>
    <w:pPr>
      <w:numPr>
        <w:ilvl w:val="3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2Level2">
    <w:name w:val="List Number 2 (Level 2)"/>
    <w:basedOn w:val="Text2"/>
    <w:pPr>
      <w:numPr>
        <w:ilvl w:val="1"/>
        <w:numId w:val="18"/>
      </w:numPr>
      <w:spacing w:before="0" w:after="240"/>
    </w:pPr>
    <w:rPr>
      <w:rFonts w:eastAsia="Times New Roman"/>
    </w:rPr>
  </w:style>
  <w:style w:type="paragraph" w:customStyle="1" w:styleId="ListNumber2Level3">
    <w:name w:val="List Number 2 (Level 3)"/>
    <w:basedOn w:val="Text2"/>
    <w:pPr>
      <w:numPr>
        <w:ilvl w:val="2"/>
        <w:numId w:val="18"/>
      </w:numPr>
      <w:spacing w:before="0" w:after="240"/>
    </w:pPr>
    <w:rPr>
      <w:rFonts w:eastAsia="Times New Roman"/>
    </w:rPr>
  </w:style>
  <w:style w:type="paragraph" w:customStyle="1" w:styleId="ListNumber2Level4">
    <w:name w:val="List Number 2 (Level 4)"/>
    <w:basedOn w:val="Text2"/>
    <w:pPr>
      <w:numPr>
        <w:ilvl w:val="3"/>
        <w:numId w:val="18"/>
      </w:numPr>
      <w:spacing w:before="0" w:after="240"/>
      <w:ind w:left="3901" w:hanging="703"/>
    </w:pPr>
    <w:rPr>
      <w:rFonts w:eastAsia="Times New Roman"/>
    </w:rPr>
  </w:style>
  <w:style w:type="paragraph" w:customStyle="1" w:styleId="ListNumber3Level2">
    <w:name w:val="List Number 3 (Level 2)"/>
    <w:basedOn w:val="Text3"/>
    <w:pPr>
      <w:numPr>
        <w:ilvl w:val="1"/>
        <w:numId w:val="19"/>
      </w:numPr>
      <w:spacing w:before="0" w:after="240"/>
    </w:pPr>
    <w:rPr>
      <w:rFonts w:eastAsia="Times New Roman"/>
    </w:rPr>
  </w:style>
  <w:style w:type="paragraph" w:customStyle="1" w:styleId="ListNumber3Level3">
    <w:name w:val="List Number 3 (Level 3)"/>
    <w:basedOn w:val="Text3"/>
    <w:pPr>
      <w:numPr>
        <w:ilvl w:val="2"/>
        <w:numId w:val="19"/>
      </w:numPr>
      <w:spacing w:before="0" w:after="240"/>
    </w:pPr>
    <w:rPr>
      <w:rFonts w:eastAsia="Times New Roman"/>
    </w:rPr>
  </w:style>
  <w:style w:type="paragraph" w:customStyle="1" w:styleId="ListNumber3Level4">
    <w:name w:val="List Number 3 (Level 4)"/>
    <w:basedOn w:val="Text3"/>
    <w:pPr>
      <w:numPr>
        <w:ilvl w:val="3"/>
        <w:numId w:val="19"/>
      </w:numPr>
      <w:spacing w:before="0" w:after="240"/>
    </w:pPr>
    <w:rPr>
      <w:rFonts w:eastAsia="Times New Roman"/>
    </w:rPr>
  </w:style>
  <w:style w:type="paragraph" w:customStyle="1" w:styleId="ListNumber4Level2">
    <w:name w:val="List Number 4 (Level 2)"/>
    <w:basedOn w:val="Text4"/>
    <w:pPr>
      <w:numPr>
        <w:ilvl w:val="1"/>
        <w:numId w:val="20"/>
      </w:numPr>
      <w:spacing w:before="0" w:after="240"/>
    </w:pPr>
    <w:rPr>
      <w:rFonts w:eastAsia="Times New Roman"/>
    </w:rPr>
  </w:style>
  <w:style w:type="paragraph" w:customStyle="1" w:styleId="ListNumber4Level3">
    <w:name w:val="List Number 4 (Level 3)"/>
    <w:basedOn w:val="Text4"/>
    <w:pPr>
      <w:numPr>
        <w:ilvl w:val="2"/>
        <w:numId w:val="20"/>
      </w:numPr>
      <w:spacing w:before="0" w:after="240"/>
    </w:pPr>
    <w:rPr>
      <w:rFonts w:eastAsia="Times New Roman"/>
    </w:rPr>
  </w:style>
  <w:style w:type="paragraph" w:customStyle="1" w:styleId="ListNumber4Level4">
    <w:name w:val="List Number 4 (Level 4)"/>
    <w:basedOn w:val="Text4"/>
    <w:pPr>
      <w:numPr>
        <w:ilvl w:val="3"/>
        <w:numId w:val="20"/>
      </w:numPr>
      <w:spacing w:before="0" w:after="240"/>
    </w:pPr>
    <w:rPr>
      <w:rFonts w:eastAsia="Times New Roman"/>
    </w:rPr>
  </w:style>
  <w:style w:type="paragraph" w:customStyle="1" w:styleId="Contact">
    <w:name w:val="Contact"/>
    <w:basedOn w:val="Normalny"/>
    <w:next w:val="Enclosures"/>
    <w:pPr>
      <w:spacing w:before="480" w:after="0"/>
      <w:ind w:left="567" w:hanging="567"/>
      <w:jc w:val="left"/>
    </w:pPr>
    <w:rPr>
      <w:rFonts w:eastAsia="Times New Roman"/>
      <w:szCs w:val="22"/>
    </w:rPr>
  </w:style>
  <w:style w:type="paragraph" w:customStyle="1" w:styleId="DisclaimerNotice">
    <w:name w:val="Disclaimer Notice"/>
    <w:basedOn w:val="Normalny"/>
    <w:next w:val="AddressTR"/>
    <w:pPr>
      <w:spacing w:before="0" w:after="240"/>
      <w:ind w:left="5103"/>
      <w:jc w:val="left"/>
    </w:pPr>
    <w:rPr>
      <w:rFonts w:eastAsia="Times New Roman"/>
      <w:i/>
      <w:sz w:val="20"/>
      <w:szCs w:val="22"/>
    </w:rPr>
  </w:style>
  <w:style w:type="paragraph" w:customStyle="1" w:styleId="Disclaimer">
    <w:name w:val="Disclaimer"/>
    <w:basedOn w:val="Normalny"/>
    <w:pPr>
      <w:keepLines/>
      <w:pBdr>
        <w:top w:val="single" w:sz="4" w:space="1" w:color="auto"/>
      </w:pBdr>
      <w:spacing w:before="480" w:after="0"/>
    </w:pPr>
    <w:rPr>
      <w:rFonts w:eastAsia="Times New Roman"/>
      <w:i/>
      <w:szCs w:val="22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pPr>
      <w:spacing w:before="0" w:after="0"/>
    </w:pPr>
    <w:rPr>
      <w:rFonts w:ascii="Arial" w:eastAsia="Times New Roman" w:hAnsi="Arial"/>
      <w:b/>
      <w:sz w:val="16"/>
      <w:szCs w:val="22"/>
    </w:rPr>
  </w:style>
  <w:style w:type="paragraph" w:styleId="NormalnyWeb">
    <w:name w:val="Normal (Web)"/>
    <w:basedOn w:val="Normalny"/>
    <w:pPr>
      <w:suppressAutoHyphens/>
      <w:spacing w:before="100" w:after="100"/>
      <w:jc w:val="left"/>
    </w:pPr>
    <w:rPr>
      <w:rFonts w:eastAsia="Times New Roman"/>
      <w:szCs w:val="24"/>
    </w:rPr>
  </w:style>
  <w:style w:type="character" w:customStyle="1" w:styleId="ManualNumPar1Char">
    <w:name w:val="Manual NumPar 1 Char"/>
    <w:rPr>
      <w:rFonts w:ascii="Times New Roman" w:hAnsi="Times New Roman"/>
      <w:sz w:val="24"/>
      <w:szCs w:val="22"/>
      <w:lang w:eastAsia="pl-PL"/>
    </w:rPr>
  </w:style>
  <w:style w:type="paragraph" w:customStyle="1" w:styleId="StyleHeading3BoldNotItalic">
    <w:name w:val="Style Heading 3 + Bold Not Italic"/>
    <w:basedOn w:val="Nagwek3"/>
    <w:autoRedefine/>
    <w:pPr>
      <w:numPr>
        <w:numId w:val="3"/>
      </w:numPr>
      <w:tabs>
        <w:tab w:val="num" w:pos="850"/>
      </w:tabs>
      <w:ind w:left="720" w:hanging="720"/>
    </w:pPr>
    <w:rPr>
      <w:rFonts w:ascii="Times New Roman Bold" w:hAnsi="Times New Roman Bold"/>
      <w:bCs/>
      <w:szCs w:val="22"/>
    </w:rPr>
  </w:style>
  <w:style w:type="paragraph" w:customStyle="1" w:styleId="Annextitle">
    <w:name w:val="Annex title"/>
    <w:basedOn w:val="Normalny"/>
    <w:autoRedefine/>
    <w:pPr>
      <w:spacing w:after="240"/>
      <w:jc w:val="center"/>
    </w:pPr>
    <w:rPr>
      <w:rFonts w:ascii="Times New Roman Bold" w:eastAsia="Times New Roman" w:hAnsi="Times New Roman Bold"/>
      <w:b/>
      <w:iCs/>
      <w:smallCaps/>
      <w:szCs w:val="24"/>
    </w:rPr>
  </w:style>
  <w:style w:type="paragraph" w:styleId="Poprawka">
    <w:name w:val="Revision"/>
    <w:hidden/>
    <w:uiPriority w:val="99"/>
    <w:semiHidden/>
    <w:rPr>
      <w:rFonts w:ascii="Times New Roman" w:eastAsia="Times New Roman" w:hAnsi="Times New Roman" w:cs="Times New Roman"/>
      <w:sz w:val="24"/>
    </w:rPr>
  </w:style>
  <w:style w:type="character" w:styleId="Odwoanieprzypisukocowego">
    <w:name w:val="endnote reference"/>
    <w:rPr>
      <w:vertAlign w:val="superscript"/>
    </w:rPr>
  </w:style>
  <w:style w:type="paragraph" w:customStyle="1" w:styleId="StyleHeading1Hanging085cm">
    <w:name w:val="Style Heading 1 + Hanging:  0.85 cm"/>
    <w:basedOn w:val="Nagwek1"/>
    <w:autoRedefine/>
    <w:pPr>
      <w:numPr>
        <w:numId w:val="0"/>
      </w:numPr>
      <w:tabs>
        <w:tab w:val="left" w:pos="1134"/>
        <w:tab w:val="left" w:pos="1560"/>
      </w:tabs>
      <w:spacing w:before="360"/>
    </w:pPr>
    <w:rPr>
      <w:i/>
      <w:szCs w:val="24"/>
    </w:rPr>
  </w:style>
  <w:style w:type="paragraph" w:customStyle="1" w:styleId="StyleHeading1Left0cm">
    <w:name w:val="Style Heading 1 + Left:  0 cm"/>
    <w:basedOn w:val="Nagwek1"/>
    <w:autoRedefine/>
    <w:pPr>
      <w:numPr>
        <w:numId w:val="21"/>
      </w:numPr>
      <w:tabs>
        <w:tab w:val="left" w:pos="1134"/>
        <w:tab w:val="left" w:pos="1560"/>
      </w:tabs>
      <w:spacing w:before="360"/>
    </w:pPr>
    <w:rPr>
      <w:rFonts w:ascii="Times New Roman Bold" w:hAnsi="Times New Roman Bold"/>
      <w:i/>
      <w:szCs w:val="24"/>
    </w:rPr>
  </w:style>
  <w:style w:type="character" w:customStyle="1" w:styleId="CharacterStyle2">
    <w:name w:val="Character Style 2"/>
    <w:uiPriority w:val="99"/>
    <w:rPr>
      <w:sz w:val="20"/>
      <w:szCs w:val="20"/>
    </w:rPr>
  </w:style>
  <w:style w:type="paragraph" w:customStyle="1" w:styleId="CM1">
    <w:name w:val="CM1"/>
    <w:basedOn w:val="Default"/>
    <w:next w:val="Default"/>
    <w:uiPriority w:val="99"/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rPr>
      <w:rFonts w:ascii="EUAlbertina" w:eastAsia="Calibri" w:hAnsi="EUAlbertina"/>
      <w:color w:val="auto"/>
    </w:rPr>
  </w:style>
  <w:style w:type="paragraph" w:customStyle="1" w:styleId="Annextitre">
    <w:name w:val="Annex titre"/>
    <w:basedOn w:val="Normalny"/>
    <w:rPr>
      <w:szCs w:val="22"/>
    </w:rPr>
  </w:style>
  <w:style w:type="paragraph" w:styleId="Nagwekspisutreci">
    <w:name w:val="TOC Heading"/>
    <w:basedOn w:val="Normalny"/>
    <w:next w:val="Normalny"/>
    <w:uiPriority w:val="39"/>
    <w:semiHidden/>
    <w:unhideWhenUsed/>
    <w:qFormat/>
    <w:pPr>
      <w:spacing w:after="240"/>
      <w:jc w:val="center"/>
    </w:pPr>
    <w:rPr>
      <w:b/>
      <w:sz w:val="28"/>
      <w:szCs w:val="22"/>
    </w:rPr>
  </w:style>
  <w:style w:type="paragraph" w:styleId="Spistreci1">
    <w:name w:val="toc 1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2">
    <w:name w:val="toc 2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3">
    <w:name w:val="toc 3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4">
    <w:name w:val="toc 4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5">
    <w:name w:val="toc 5"/>
    <w:basedOn w:val="Normalny"/>
    <w:next w:val="Normalny"/>
    <w:uiPriority w:val="39"/>
    <w:semiHidden/>
    <w:unhideWhenUsed/>
    <w:pPr>
      <w:tabs>
        <w:tab w:val="right" w:leader="dot" w:pos="9071"/>
      </w:tabs>
      <w:spacing w:before="300"/>
      <w:jc w:val="left"/>
    </w:pPr>
    <w:rPr>
      <w:szCs w:val="22"/>
    </w:rPr>
  </w:style>
  <w:style w:type="paragraph" w:styleId="Spistreci6">
    <w:name w:val="toc 6"/>
    <w:basedOn w:val="Normalny"/>
    <w:next w:val="Normalny"/>
    <w:uiPriority w:val="39"/>
    <w:semiHidden/>
    <w:unhideWhenUsed/>
    <w:pPr>
      <w:tabs>
        <w:tab w:val="right" w:leader="dot" w:pos="9071"/>
      </w:tabs>
      <w:spacing w:before="240"/>
      <w:jc w:val="left"/>
    </w:pPr>
    <w:rPr>
      <w:szCs w:val="22"/>
    </w:rPr>
  </w:style>
  <w:style w:type="paragraph" w:styleId="Spistreci7">
    <w:name w:val="toc 7"/>
    <w:basedOn w:val="Normalny"/>
    <w:next w:val="Normalny"/>
    <w:uiPriority w:val="39"/>
    <w:semiHidden/>
    <w:unhideWhenUsed/>
    <w:pPr>
      <w:tabs>
        <w:tab w:val="right" w:leader="dot" w:pos="9071"/>
      </w:tabs>
      <w:spacing w:before="180"/>
      <w:jc w:val="left"/>
    </w:pPr>
    <w:rPr>
      <w:szCs w:val="22"/>
    </w:rPr>
  </w:style>
  <w:style w:type="paragraph" w:styleId="Spistreci8">
    <w:name w:val="toc 8"/>
    <w:basedOn w:val="Normalny"/>
    <w:next w:val="Normalny"/>
    <w:uiPriority w:val="39"/>
    <w:semiHidden/>
    <w:unhideWhenUsed/>
    <w:pPr>
      <w:tabs>
        <w:tab w:val="right" w:leader="dot" w:pos="9071"/>
      </w:tabs>
      <w:jc w:val="left"/>
    </w:pPr>
    <w:rPr>
      <w:szCs w:val="22"/>
    </w:rPr>
  </w:style>
  <w:style w:type="paragraph" w:styleId="Spistreci9">
    <w:name w:val="toc 9"/>
    <w:basedOn w:val="Normalny"/>
    <w:next w:val="Normalny"/>
    <w:uiPriority w:val="39"/>
    <w:semiHidden/>
    <w:unhideWhenUsed/>
    <w:pPr>
      <w:tabs>
        <w:tab w:val="right" w:leader="dot" w:pos="9071"/>
      </w:tabs>
    </w:pPr>
    <w:rPr>
      <w:szCs w:val="22"/>
    </w:rPr>
  </w:style>
  <w:style w:type="paragraph" w:customStyle="1" w:styleId="Text2">
    <w:name w:val="Text 2"/>
    <w:basedOn w:val="Normalny"/>
    <w:pPr>
      <w:ind w:left="1417"/>
    </w:pPr>
    <w:rPr>
      <w:szCs w:val="22"/>
    </w:rPr>
  </w:style>
  <w:style w:type="paragraph" w:customStyle="1" w:styleId="Text3">
    <w:name w:val="Text 3"/>
    <w:basedOn w:val="Normalny"/>
    <w:pPr>
      <w:ind w:left="1984"/>
    </w:pPr>
    <w:rPr>
      <w:szCs w:val="22"/>
    </w:rPr>
  </w:style>
  <w:style w:type="paragraph" w:customStyle="1" w:styleId="Text4">
    <w:name w:val="Text 4"/>
    <w:basedOn w:val="Normalny"/>
    <w:pPr>
      <w:ind w:left="2551"/>
    </w:pPr>
    <w:rPr>
      <w:szCs w:val="22"/>
    </w:rPr>
  </w:style>
  <w:style w:type="paragraph" w:customStyle="1" w:styleId="NormalLeft">
    <w:name w:val="Normal Left"/>
    <w:basedOn w:val="Normalny"/>
    <w:pPr>
      <w:jc w:val="left"/>
    </w:pPr>
    <w:rPr>
      <w:szCs w:val="22"/>
    </w:rPr>
  </w:style>
  <w:style w:type="paragraph" w:customStyle="1" w:styleId="NormalRight">
    <w:name w:val="Normal Right"/>
    <w:basedOn w:val="Normalny"/>
    <w:pPr>
      <w:jc w:val="right"/>
    </w:pPr>
    <w:rPr>
      <w:szCs w:val="22"/>
    </w:rPr>
  </w:style>
  <w:style w:type="paragraph" w:customStyle="1" w:styleId="QuotedText">
    <w:name w:val="Quoted Text"/>
    <w:basedOn w:val="Normalny"/>
    <w:pPr>
      <w:ind w:left="1417"/>
    </w:pPr>
    <w:rPr>
      <w:szCs w:val="22"/>
    </w:rPr>
  </w:style>
  <w:style w:type="paragraph" w:customStyle="1" w:styleId="Point0">
    <w:name w:val="Point 0"/>
    <w:basedOn w:val="Normalny"/>
    <w:pPr>
      <w:ind w:left="850" w:hanging="850"/>
    </w:pPr>
    <w:rPr>
      <w:szCs w:val="22"/>
    </w:rPr>
  </w:style>
  <w:style w:type="paragraph" w:customStyle="1" w:styleId="Point1">
    <w:name w:val="Point 1"/>
    <w:basedOn w:val="Normalny"/>
    <w:pPr>
      <w:ind w:left="1417" w:hanging="567"/>
    </w:pPr>
    <w:rPr>
      <w:szCs w:val="22"/>
    </w:rPr>
  </w:style>
  <w:style w:type="paragraph" w:customStyle="1" w:styleId="Point2">
    <w:name w:val="Point 2"/>
    <w:basedOn w:val="Normalny"/>
    <w:pPr>
      <w:ind w:left="1984" w:hanging="567"/>
    </w:pPr>
    <w:rPr>
      <w:szCs w:val="22"/>
    </w:rPr>
  </w:style>
  <w:style w:type="paragraph" w:customStyle="1" w:styleId="Point3">
    <w:name w:val="Point 3"/>
    <w:basedOn w:val="Normalny"/>
    <w:pPr>
      <w:ind w:left="2551" w:hanging="567"/>
    </w:pPr>
    <w:rPr>
      <w:szCs w:val="22"/>
    </w:rPr>
  </w:style>
  <w:style w:type="paragraph" w:customStyle="1" w:styleId="Point4">
    <w:name w:val="Point 4"/>
    <w:basedOn w:val="Normalny"/>
    <w:pPr>
      <w:ind w:left="3118" w:hanging="567"/>
    </w:pPr>
    <w:rPr>
      <w:szCs w:val="22"/>
    </w:rPr>
  </w:style>
  <w:style w:type="paragraph" w:customStyle="1" w:styleId="Tiret0">
    <w:name w:val="Tiret 0"/>
    <w:basedOn w:val="Point0"/>
    <w:pPr>
      <w:numPr>
        <w:numId w:val="23"/>
      </w:numPr>
    </w:pPr>
  </w:style>
  <w:style w:type="paragraph" w:customStyle="1" w:styleId="Tiret1">
    <w:name w:val="Tiret 1"/>
    <w:basedOn w:val="Point1"/>
    <w:pPr>
      <w:numPr>
        <w:numId w:val="24"/>
      </w:numPr>
    </w:pPr>
  </w:style>
  <w:style w:type="paragraph" w:customStyle="1" w:styleId="Tiret2">
    <w:name w:val="Tiret 2"/>
    <w:basedOn w:val="Point2"/>
    <w:pPr>
      <w:numPr>
        <w:numId w:val="25"/>
      </w:numPr>
    </w:pPr>
  </w:style>
  <w:style w:type="paragraph" w:customStyle="1" w:styleId="Tiret3">
    <w:name w:val="Tiret 3"/>
    <w:basedOn w:val="Point3"/>
    <w:pPr>
      <w:numPr>
        <w:numId w:val="26"/>
      </w:numPr>
    </w:pPr>
  </w:style>
  <w:style w:type="paragraph" w:customStyle="1" w:styleId="Tiret4">
    <w:name w:val="Tiret 4"/>
    <w:basedOn w:val="Point4"/>
    <w:pPr>
      <w:numPr>
        <w:numId w:val="27"/>
      </w:numPr>
    </w:pPr>
  </w:style>
  <w:style w:type="paragraph" w:customStyle="1" w:styleId="PointDouble0">
    <w:name w:val="PointDouble 0"/>
    <w:basedOn w:val="Normalny"/>
    <w:pPr>
      <w:tabs>
        <w:tab w:val="left" w:pos="850"/>
      </w:tabs>
      <w:ind w:left="1417" w:hanging="1417"/>
    </w:pPr>
    <w:rPr>
      <w:szCs w:val="22"/>
    </w:rPr>
  </w:style>
  <w:style w:type="paragraph" w:customStyle="1" w:styleId="PointDouble1">
    <w:name w:val="PointDouble 1"/>
    <w:basedOn w:val="Normalny"/>
    <w:pPr>
      <w:tabs>
        <w:tab w:val="left" w:pos="1417"/>
      </w:tabs>
      <w:ind w:left="1984" w:hanging="1134"/>
    </w:pPr>
    <w:rPr>
      <w:szCs w:val="22"/>
    </w:rPr>
  </w:style>
  <w:style w:type="paragraph" w:customStyle="1" w:styleId="PointDouble2">
    <w:name w:val="PointDouble 2"/>
    <w:basedOn w:val="Normalny"/>
    <w:pPr>
      <w:tabs>
        <w:tab w:val="left" w:pos="1984"/>
      </w:tabs>
      <w:ind w:left="2551" w:hanging="1134"/>
    </w:pPr>
    <w:rPr>
      <w:szCs w:val="22"/>
    </w:rPr>
  </w:style>
  <w:style w:type="paragraph" w:customStyle="1" w:styleId="PointDouble3">
    <w:name w:val="PointDouble 3"/>
    <w:basedOn w:val="Normalny"/>
    <w:pPr>
      <w:tabs>
        <w:tab w:val="left" w:pos="2551"/>
      </w:tabs>
      <w:ind w:left="3118" w:hanging="1134"/>
    </w:pPr>
    <w:rPr>
      <w:szCs w:val="22"/>
    </w:rPr>
  </w:style>
  <w:style w:type="paragraph" w:customStyle="1" w:styleId="PointDouble4">
    <w:name w:val="PointDouble 4"/>
    <w:basedOn w:val="Normalny"/>
    <w:pPr>
      <w:tabs>
        <w:tab w:val="left" w:pos="3118"/>
      </w:tabs>
      <w:ind w:left="3685" w:hanging="1134"/>
    </w:pPr>
    <w:rPr>
      <w:szCs w:val="22"/>
    </w:rPr>
  </w:style>
  <w:style w:type="paragraph" w:customStyle="1" w:styleId="PointTriple0">
    <w:name w:val="PointTriple 0"/>
    <w:basedOn w:val="Normalny"/>
    <w:pPr>
      <w:tabs>
        <w:tab w:val="left" w:pos="850"/>
        <w:tab w:val="left" w:pos="1417"/>
      </w:tabs>
      <w:ind w:left="1984" w:hanging="1984"/>
    </w:pPr>
    <w:rPr>
      <w:szCs w:val="22"/>
    </w:rPr>
  </w:style>
  <w:style w:type="paragraph" w:customStyle="1" w:styleId="PointTriple1">
    <w:name w:val="PointTriple 1"/>
    <w:basedOn w:val="Normalny"/>
    <w:pPr>
      <w:tabs>
        <w:tab w:val="left" w:pos="1417"/>
        <w:tab w:val="left" w:pos="1984"/>
      </w:tabs>
      <w:ind w:left="2551" w:hanging="1701"/>
    </w:pPr>
    <w:rPr>
      <w:szCs w:val="22"/>
    </w:rPr>
  </w:style>
  <w:style w:type="paragraph" w:customStyle="1" w:styleId="PointTriple2">
    <w:name w:val="PointTriple 2"/>
    <w:basedOn w:val="Normalny"/>
    <w:pPr>
      <w:tabs>
        <w:tab w:val="left" w:pos="1984"/>
        <w:tab w:val="left" w:pos="2551"/>
      </w:tabs>
      <w:ind w:left="3118" w:hanging="1701"/>
    </w:pPr>
    <w:rPr>
      <w:szCs w:val="22"/>
    </w:rPr>
  </w:style>
  <w:style w:type="paragraph" w:customStyle="1" w:styleId="PointTriple3">
    <w:name w:val="PointTriple 3"/>
    <w:basedOn w:val="Normalny"/>
    <w:pPr>
      <w:tabs>
        <w:tab w:val="left" w:pos="2551"/>
        <w:tab w:val="left" w:pos="3118"/>
      </w:tabs>
      <w:ind w:left="3685" w:hanging="1701"/>
    </w:pPr>
    <w:rPr>
      <w:szCs w:val="22"/>
    </w:rPr>
  </w:style>
  <w:style w:type="paragraph" w:customStyle="1" w:styleId="PointTriple4">
    <w:name w:val="PointTriple 4"/>
    <w:basedOn w:val="Normalny"/>
    <w:pPr>
      <w:tabs>
        <w:tab w:val="left" w:pos="3118"/>
        <w:tab w:val="left" w:pos="3685"/>
      </w:tabs>
      <w:ind w:left="4252" w:hanging="1701"/>
    </w:pPr>
    <w:rPr>
      <w:szCs w:val="22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ManualNumPar1">
    <w:name w:val="Manual NumPar 1"/>
    <w:basedOn w:val="Normalny"/>
    <w:next w:val="Text1"/>
    <w:pPr>
      <w:ind w:left="850" w:hanging="850"/>
    </w:pPr>
    <w:rPr>
      <w:szCs w:val="22"/>
    </w:rPr>
  </w:style>
  <w:style w:type="paragraph" w:customStyle="1" w:styleId="ManualNumPar2">
    <w:name w:val="Manual NumPar 2"/>
    <w:basedOn w:val="Normalny"/>
    <w:next w:val="Text1"/>
    <w:pPr>
      <w:ind w:left="850" w:hanging="850"/>
    </w:pPr>
    <w:rPr>
      <w:szCs w:val="22"/>
    </w:rPr>
  </w:style>
  <w:style w:type="paragraph" w:customStyle="1" w:styleId="ManualNumPar3">
    <w:name w:val="Manual NumPar 3"/>
    <w:basedOn w:val="Normalny"/>
    <w:next w:val="Text1"/>
    <w:pPr>
      <w:ind w:left="850" w:hanging="850"/>
    </w:pPr>
    <w:rPr>
      <w:szCs w:val="22"/>
    </w:rPr>
  </w:style>
  <w:style w:type="paragraph" w:customStyle="1" w:styleId="ManualNumPar4">
    <w:name w:val="Manual NumPar 4"/>
    <w:basedOn w:val="Normalny"/>
    <w:next w:val="Text1"/>
    <w:pPr>
      <w:ind w:left="850" w:hanging="850"/>
    </w:pPr>
    <w:rPr>
      <w:szCs w:val="22"/>
    </w:rPr>
  </w:style>
  <w:style w:type="paragraph" w:customStyle="1" w:styleId="QuotedNumPar">
    <w:name w:val="Quoted NumPar"/>
    <w:basedOn w:val="Normalny"/>
    <w:pPr>
      <w:ind w:left="1417" w:hanging="567"/>
    </w:pPr>
    <w:rPr>
      <w:szCs w:val="22"/>
    </w:rPr>
  </w:style>
  <w:style w:type="paragraph" w:customStyle="1" w:styleId="ManualHeading1">
    <w:name w:val="Manual Heading 1"/>
    <w:basedOn w:val="Normalny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  <w:szCs w:val="22"/>
    </w:rPr>
  </w:style>
  <w:style w:type="paragraph" w:customStyle="1" w:styleId="ManualHeading2">
    <w:name w:val="Manual Heading 2"/>
    <w:basedOn w:val="Normalny"/>
    <w:next w:val="Text1"/>
    <w:pPr>
      <w:keepNext/>
      <w:tabs>
        <w:tab w:val="left" w:pos="850"/>
      </w:tabs>
      <w:ind w:left="850" w:hanging="850"/>
      <w:outlineLvl w:val="1"/>
    </w:pPr>
    <w:rPr>
      <w:b/>
      <w:szCs w:val="22"/>
    </w:rPr>
  </w:style>
  <w:style w:type="paragraph" w:customStyle="1" w:styleId="ManualHeading3">
    <w:name w:val="Manual Heading 3"/>
    <w:basedOn w:val="Normalny"/>
    <w:next w:val="Text1"/>
    <w:pPr>
      <w:keepNext/>
      <w:tabs>
        <w:tab w:val="left" w:pos="850"/>
      </w:tabs>
      <w:ind w:left="850" w:hanging="850"/>
      <w:outlineLvl w:val="2"/>
    </w:pPr>
    <w:rPr>
      <w:i/>
      <w:szCs w:val="22"/>
    </w:rPr>
  </w:style>
  <w:style w:type="paragraph" w:customStyle="1" w:styleId="ManualHeading4">
    <w:name w:val="Manual Heading 4"/>
    <w:basedOn w:val="Normalny"/>
    <w:next w:val="Text1"/>
    <w:pPr>
      <w:keepNext/>
      <w:tabs>
        <w:tab w:val="left" w:pos="850"/>
      </w:tabs>
      <w:ind w:left="850" w:hanging="850"/>
      <w:outlineLvl w:val="3"/>
    </w:pPr>
    <w:rPr>
      <w:szCs w:val="22"/>
    </w:rPr>
  </w:style>
  <w:style w:type="paragraph" w:customStyle="1" w:styleId="ChapterTitle">
    <w:name w:val="ChapterTitle"/>
    <w:basedOn w:val="Normalny"/>
    <w:next w:val="Normalny"/>
    <w:pPr>
      <w:keepNext/>
      <w:spacing w:after="360"/>
      <w:jc w:val="center"/>
    </w:pPr>
    <w:rPr>
      <w:b/>
      <w:sz w:val="32"/>
      <w:szCs w:val="22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after="360"/>
      <w:jc w:val="center"/>
    </w:pPr>
    <w:rPr>
      <w:b/>
      <w:sz w:val="36"/>
      <w:szCs w:val="22"/>
    </w:rPr>
  </w:style>
  <w:style w:type="paragraph" w:customStyle="1" w:styleId="SectionTitle">
    <w:name w:val="SectionTitle"/>
    <w:basedOn w:val="Normalny"/>
    <w:next w:val="Nagwek1"/>
    <w:pPr>
      <w:keepNext/>
      <w:spacing w:after="360"/>
      <w:jc w:val="center"/>
    </w:pPr>
    <w:rPr>
      <w:b/>
      <w:smallCaps/>
      <w:sz w:val="28"/>
      <w:szCs w:val="22"/>
    </w:rPr>
  </w:style>
  <w:style w:type="paragraph" w:customStyle="1" w:styleId="TableTitle">
    <w:name w:val="Table Title"/>
    <w:basedOn w:val="Normalny"/>
    <w:next w:val="Normalny"/>
    <w:pPr>
      <w:jc w:val="center"/>
    </w:pPr>
    <w:rPr>
      <w:b/>
      <w:szCs w:val="22"/>
    </w:rPr>
  </w:style>
  <w:style w:type="character" w:customStyle="1" w:styleId="Marker1">
    <w:name w:val="Marker1"/>
    <w:rPr>
      <w:color w:val="008000"/>
      <w:shd w:val="clear" w:color="auto" w:fill="auto"/>
    </w:rPr>
  </w:style>
  <w:style w:type="character" w:customStyle="1" w:styleId="Marker2">
    <w:name w:val="Marker2"/>
    <w:rPr>
      <w:color w:val="FF0000"/>
      <w:shd w:val="clear" w:color="auto" w:fill="auto"/>
    </w:rPr>
  </w:style>
  <w:style w:type="paragraph" w:customStyle="1" w:styleId="Point2letter">
    <w:name w:val="Point 2 (letter)"/>
    <w:basedOn w:val="Normalny"/>
    <w:pPr>
      <w:tabs>
        <w:tab w:val="num" w:pos="1984"/>
      </w:tabs>
      <w:ind w:left="1984" w:hanging="567"/>
    </w:pPr>
    <w:rPr>
      <w:szCs w:val="22"/>
    </w:rPr>
  </w:style>
  <w:style w:type="paragraph" w:customStyle="1" w:styleId="Bullet0">
    <w:name w:val="Bullet 0"/>
    <w:basedOn w:val="Normalny"/>
    <w:pPr>
      <w:numPr>
        <w:numId w:val="22"/>
      </w:numPr>
    </w:pPr>
    <w:rPr>
      <w:szCs w:val="22"/>
    </w:rPr>
  </w:style>
  <w:style w:type="paragraph" w:customStyle="1" w:styleId="Bullet1">
    <w:name w:val="Bullet 1"/>
    <w:basedOn w:val="Normalny"/>
    <w:pPr>
      <w:numPr>
        <w:numId w:val="28"/>
      </w:numPr>
    </w:pPr>
    <w:rPr>
      <w:szCs w:val="22"/>
    </w:rPr>
  </w:style>
  <w:style w:type="paragraph" w:customStyle="1" w:styleId="Bullet2">
    <w:name w:val="Bullet 2"/>
    <w:basedOn w:val="Normalny"/>
    <w:pPr>
      <w:numPr>
        <w:numId w:val="29"/>
      </w:numPr>
    </w:pPr>
    <w:rPr>
      <w:szCs w:val="22"/>
    </w:rPr>
  </w:style>
  <w:style w:type="paragraph" w:customStyle="1" w:styleId="Bullet3">
    <w:name w:val="Bullet 3"/>
    <w:basedOn w:val="Normalny"/>
    <w:pPr>
      <w:numPr>
        <w:numId w:val="30"/>
      </w:numPr>
    </w:pPr>
    <w:rPr>
      <w:szCs w:val="22"/>
    </w:rPr>
  </w:style>
  <w:style w:type="paragraph" w:customStyle="1" w:styleId="Bullet4">
    <w:name w:val="Bullet 4"/>
    <w:basedOn w:val="Normalny"/>
    <w:pPr>
      <w:numPr>
        <w:numId w:val="31"/>
      </w:numPr>
    </w:pPr>
    <w:rPr>
      <w:szCs w:val="22"/>
    </w:rPr>
  </w:style>
  <w:style w:type="paragraph" w:customStyle="1" w:styleId="Annexetitreexpos">
    <w:name w:val="Annexe titre (exposé)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Annexetitrefichefinancire">
    <w:name w:val="Annexe titre (fiche financière)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Applicationdirecte">
    <w:name w:val="Application directe"/>
    <w:basedOn w:val="Normalny"/>
    <w:next w:val="Fait"/>
    <w:pPr>
      <w:spacing w:before="480"/>
    </w:pPr>
    <w:rPr>
      <w:szCs w:val="22"/>
    </w:rPr>
  </w:style>
  <w:style w:type="paragraph" w:customStyle="1" w:styleId="Avertissementtitre">
    <w:name w:val="Avertissement titre"/>
    <w:basedOn w:val="Normalny"/>
    <w:next w:val="Normalny"/>
    <w:pPr>
      <w:keepNext/>
      <w:spacing w:before="480"/>
    </w:pPr>
    <w:rPr>
      <w:szCs w:val="22"/>
      <w:u w:val="single"/>
    </w:rPr>
  </w:style>
  <w:style w:type="paragraph" w:customStyle="1" w:styleId="Confidence">
    <w:name w:val="Confidence"/>
    <w:basedOn w:val="Normalny"/>
    <w:next w:val="Normalny"/>
    <w:pPr>
      <w:spacing w:before="360"/>
      <w:jc w:val="center"/>
    </w:pPr>
    <w:rPr>
      <w:szCs w:val="22"/>
    </w:rPr>
  </w:style>
  <w:style w:type="paragraph" w:customStyle="1" w:styleId="Confidentialit">
    <w:name w:val="Confidentialité"/>
    <w:basedOn w:val="Normalny"/>
    <w:next w:val="TypedudocumentPagedecouverture"/>
    <w:pPr>
      <w:spacing w:before="240" w:after="240"/>
      <w:ind w:left="5103"/>
      <w:jc w:val="left"/>
    </w:pPr>
    <w:rPr>
      <w:i/>
      <w:sz w:val="32"/>
      <w:szCs w:val="22"/>
    </w:rPr>
  </w:style>
  <w:style w:type="paragraph" w:customStyle="1" w:styleId="Considrant">
    <w:name w:val="Considérant"/>
    <w:basedOn w:val="Normalny"/>
    <w:pPr>
      <w:numPr>
        <w:numId w:val="32"/>
      </w:numPr>
    </w:pPr>
    <w:rPr>
      <w:szCs w:val="22"/>
    </w:rPr>
  </w:style>
  <w:style w:type="paragraph" w:customStyle="1" w:styleId="Corrigendum">
    <w:name w:val="Corrigendum"/>
    <w:basedOn w:val="Normalny"/>
    <w:next w:val="Normalny"/>
    <w:pPr>
      <w:spacing w:before="0" w:after="240"/>
      <w:jc w:val="left"/>
    </w:pPr>
    <w:rPr>
      <w:szCs w:val="22"/>
    </w:rPr>
  </w:style>
  <w:style w:type="paragraph" w:customStyle="1" w:styleId="Datedadoption">
    <w:name w:val="Date d'adoption"/>
    <w:basedOn w:val="Normalny"/>
    <w:next w:val="Titreobjet"/>
    <w:pPr>
      <w:spacing w:before="360" w:after="0"/>
      <w:jc w:val="center"/>
    </w:pPr>
    <w:rPr>
      <w:b/>
      <w:szCs w:val="22"/>
    </w:rPr>
  </w:style>
  <w:style w:type="paragraph" w:customStyle="1" w:styleId="Emission">
    <w:name w:val="Emission"/>
    <w:basedOn w:val="Normalny"/>
    <w:next w:val="Rfrenceinstitutionnelle"/>
    <w:pPr>
      <w:spacing w:before="0" w:after="0"/>
      <w:ind w:left="5103"/>
      <w:jc w:val="left"/>
    </w:pPr>
    <w:rPr>
      <w:szCs w:val="22"/>
    </w:rPr>
  </w:style>
  <w:style w:type="paragraph" w:customStyle="1" w:styleId="Exposdesmotifstitre">
    <w:name w:val="Exposé des motifs titre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Fait">
    <w:name w:val="Fait à"/>
    <w:basedOn w:val="Normalny"/>
    <w:next w:val="Institutionquisigne"/>
    <w:pPr>
      <w:keepNext/>
      <w:spacing w:after="0"/>
    </w:pPr>
    <w:rPr>
      <w:szCs w:val="22"/>
    </w:rPr>
  </w:style>
  <w:style w:type="paragraph" w:customStyle="1" w:styleId="Formuledadoption">
    <w:name w:val="Formule d'adoption"/>
    <w:basedOn w:val="Normalny"/>
    <w:next w:val="Titrearticle"/>
    <w:pPr>
      <w:keepNext/>
    </w:pPr>
    <w:rPr>
      <w:szCs w:val="22"/>
    </w:rPr>
  </w:style>
  <w:style w:type="paragraph" w:customStyle="1" w:styleId="Institutionquiagit">
    <w:name w:val="Institution qui agit"/>
    <w:basedOn w:val="Normalny"/>
    <w:next w:val="Normalny"/>
    <w:pPr>
      <w:keepNext/>
      <w:spacing w:before="600"/>
    </w:pPr>
    <w:rPr>
      <w:szCs w:val="22"/>
    </w:rPr>
  </w:style>
  <w:style w:type="paragraph" w:customStyle="1" w:styleId="Institutionquisigne">
    <w:name w:val="Institution qui signe"/>
    <w:basedOn w:val="Normalny"/>
    <w:next w:val="Personnequisigne"/>
    <w:pPr>
      <w:keepNext/>
      <w:tabs>
        <w:tab w:val="left" w:pos="4252"/>
      </w:tabs>
      <w:spacing w:before="720" w:after="0"/>
    </w:pPr>
    <w:rPr>
      <w:i/>
      <w:szCs w:val="22"/>
    </w:rPr>
  </w:style>
  <w:style w:type="paragraph" w:customStyle="1" w:styleId="Langue">
    <w:name w:val="Langue"/>
    <w:basedOn w:val="Normalny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  <w:szCs w:val="22"/>
    </w:rPr>
  </w:style>
  <w:style w:type="paragraph" w:customStyle="1" w:styleId="ManualConsidrant">
    <w:name w:val="Manual Considérant"/>
    <w:basedOn w:val="Normalny"/>
    <w:pPr>
      <w:ind w:left="709" w:hanging="709"/>
    </w:pPr>
    <w:rPr>
      <w:szCs w:val="22"/>
    </w:rPr>
  </w:style>
  <w:style w:type="paragraph" w:customStyle="1" w:styleId="Nomdelinstitution">
    <w:name w:val="Nom de l'institution"/>
    <w:basedOn w:val="Normalny"/>
    <w:next w:val="Emission"/>
    <w:pPr>
      <w:spacing w:before="0" w:after="0"/>
      <w:jc w:val="left"/>
    </w:pPr>
    <w:rPr>
      <w:rFonts w:ascii="Arial" w:hAnsi="Arial" w:cs="Arial"/>
      <w:szCs w:val="22"/>
    </w:rPr>
  </w:style>
  <w:style w:type="paragraph" w:customStyle="1" w:styleId="Personnequisigne">
    <w:name w:val="Personne qui signe"/>
    <w:basedOn w:val="Normalny"/>
    <w:next w:val="Institutionquisigne"/>
    <w:pPr>
      <w:tabs>
        <w:tab w:val="left" w:pos="4252"/>
      </w:tabs>
      <w:spacing w:before="0" w:after="0"/>
      <w:jc w:val="left"/>
    </w:pPr>
    <w:rPr>
      <w:i/>
      <w:szCs w:val="22"/>
    </w:rPr>
  </w:style>
  <w:style w:type="paragraph" w:customStyle="1" w:styleId="Rfrenceinstitutionnelle">
    <w:name w:val="Référence institutionnelle"/>
    <w:basedOn w:val="Normalny"/>
    <w:next w:val="Confidentialit"/>
    <w:pPr>
      <w:spacing w:before="0" w:after="240"/>
      <w:ind w:left="5103"/>
      <w:jc w:val="left"/>
    </w:pPr>
    <w:rPr>
      <w:szCs w:val="22"/>
    </w:rPr>
  </w:style>
  <w:style w:type="paragraph" w:customStyle="1" w:styleId="Rfrenceinterinstitutionnelle">
    <w:name w:val="Référence interinstitutionnelle"/>
    <w:basedOn w:val="Normalny"/>
    <w:next w:val="Statut"/>
    <w:pPr>
      <w:spacing w:before="0" w:after="0"/>
      <w:ind w:left="5103"/>
      <w:jc w:val="left"/>
    </w:pPr>
    <w:rPr>
      <w:szCs w:val="22"/>
    </w:rPr>
  </w:style>
  <w:style w:type="paragraph" w:customStyle="1" w:styleId="Rfrenceinterne">
    <w:name w:val="Référence interne"/>
    <w:basedOn w:val="Normalny"/>
    <w:next w:val="Rfrenceinterinstitutionnelle"/>
    <w:pPr>
      <w:spacing w:before="0" w:after="0"/>
      <w:ind w:left="5103"/>
      <w:jc w:val="left"/>
    </w:pPr>
    <w:rPr>
      <w:szCs w:val="22"/>
    </w:rPr>
  </w:style>
  <w:style w:type="paragraph" w:customStyle="1" w:styleId="Sous-titreobjet">
    <w:name w:val="Sous-titre objet"/>
    <w:basedOn w:val="Normalny"/>
    <w:pPr>
      <w:spacing w:before="0" w:after="0"/>
      <w:jc w:val="center"/>
    </w:pPr>
    <w:rPr>
      <w:b/>
      <w:szCs w:val="22"/>
    </w:rPr>
  </w:style>
  <w:style w:type="paragraph" w:customStyle="1" w:styleId="Statut">
    <w:name w:val="Statut"/>
    <w:basedOn w:val="Normalny"/>
    <w:next w:val="Typedudocument"/>
    <w:pPr>
      <w:spacing w:before="360" w:after="0"/>
      <w:jc w:val="center"/>
    </w:pPr>
    <w:rPr>
      <w:szCs w:val="22"/>
    </w:rPr>
  </w:style>
  <w:style w:type="paragraph" w:customStyle="1" w:styleId="Titrearticle">
    <w:name w:val="Titre article"/>
    <w:basedOn w:val="Normalny"/>
    <w:next w:val="Normalny"/>
    <w:pPr>
      <w:keepNext/>
      <w:spacing w:before="360"/>
      <w:jc w:val="center"/>
    </w:pPr>
    <w:rPr>
      <w:i/>
      <w:szCs w:val="22"/>
    </w:rPr>
  </w:style>
  <w:style w:type="paragraph" w:customStyle="1" w:styleId="Titreobjet">
    <w:name w:val="Titre objet"/>
    <w:basedOn w:val="Normalny"/>
    <w:next w:val="Sous-titreobjet"/>
    <w:pPr>
      <w:spacing w:before="180" w:after="180"/>
      <w:jc w:val="center"/>
    </w:pPr>
    <w:rPr>
      <w:b/>
      <w:szCs w:val="22"/>
    </w:rPr>
  </w:style>
  <w:style w:type="paragraph" w:customStyle="1" w:styleId="Typedudocument">
    <w:name w:val="Type du document"/>
    <w:basedOn w:val="Normalny"/>
    <w:next w:val="Titreobjet"/>
    <w:pPr>
      <w:spacing w:before="360" w:after="180"/>
      <w:jc w:val="center"/>
    </w:pPr>
    <w:rPr>
      <w:b/>
      <w:szCs w:val="22"/>
    </w:rPr>
  </w:style>
  <w:style w:type="character" w:customStyle="1" w:styleId="Added">
    <w:name w:val="Added"/>
    <w:rPr>
      <w:b/>
      <w:u w:val="single"/>
      <w:shd w:val="clear" w:color="auto" w:fill="auto"/>
    </w:rPr>
  </w:style>
  <w:style w:type="character" w:customStyle="1" w:styleId="Deleted">
    <w:name w:val="Deleted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pPr>
      <w:keepLines/>
      <w:spacing w:line="360" w:lineRule="auto"/>
      <w:ind w:left="3402"/>
      <w:jc w:val="left"/>
    </w:pPr>
    <w:rPr>
      <w:szCs w:val="22"/>
    </w:rPr>
  </w:style>
  <w:style w:type="paragraph" w:customStyle="1" w:styleId="Objetexterne">
    <w:name w:val="Objet externe"/>
    <w:basedOn w:val="Normalny"/>
    <w:next w:val="Normalny"/>
    <w:rPr>
      <w:i/>
      <w:caps/>
      <w:szCs w:val="22"/>
    </w:rPr>
  </w:style>
  <w:style w:type="paragraph" w:customStyle="1" w:styleId="Supertitre">
    <w:name w:val="Supertitre"/>
    <w:basedOn w:val="Normalny"/>
    <w:next w:val="Normalny"/>
    <w:pPr>
      <w:spacing w:before="0" w:after="600"/>
      <w:jc w:val="center"/>
    </w:pPr>
    <w:rPr>
      <w:b/>
      <w:szCs w:val="22"/>
    </w:rPr>
  </w:style>
  <w:style w:type="paragraph" w:customStyle="1" w:styleId="Languesfaisantfoi">
    <w:name w:val="Langues faisant foi"/>
    <w:basedOn w:val="Normalny"/>
    <w:next w:val="Normalny"/>
    <w:pPr>
      <w:spacing w:before="360" w:after="0"/>
      <w:jc w:val="center"/>
    </w:pPr>
    <w:rPr>
      <w:szCs w:val="22"/>
    </w:rPr>
  </w:style>
  <w:style w:type="paragraph" w:customStyle="1" w:styleId="Rfrencecroise">
    <w:name w:val="Référence croisée"/>
    <w:basedOn w:val="Normalny"/>
    <w:pPr>
      <w:spacing w:before="0" w:after="0"/>
      <w:jc w:val="center"/>
    </w:pPr>
    <w:rPr>
      <w:szCs w:val="22"/>
    </w:rPr>
  </w:style>
  <w:style w:type="paragraph" w:customStyle="1" w:styleId="Fichefinanciretitre">
    <w:name w:val="Fiche financière titre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ous-titreobjetPagedecouverture">
    <w:name w:val="Sous-titre objet (Page de couverture)"/>
    <w:basedOn w:val="Sous-titreobje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Sous-titreobjet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ny"/>
    <w:next w:val="Confidentialit"/>
    <w:pPr>
      <w:spacing w:before="0" w:after="240"/>
      <w:ind w:left="5103"/>
      <w:jc w:val="left"/>
    </w:pPr>
    <w:rPr>
      <w:szCs w:val="22"/>
    </w:rPr>
  </w:style>
  <w:style w:type="paragraph" w:customStyle="1" w:styleId="IntrtEEE">
    <w:name w:val="Intérêt EEE"/>
    <w:basedOn w:val="Languesfaisantfoi"/>
    <w:next w:val="Normalny"/>
    <w:pPr>
      <w:spacing w:after="240"/>
    </w:pPr>
  </w:style>
  <w:style w:type="paragraph" w:customStyle="1" w:styleId="Accompagnant">
    <w:name w:val="Accompagnant"/>
    <w:basedOn w:val="Normalny"/>
    <w:next w:val="Typeacteprincipal"/>
    <w:pPr>
      <w:spacing w:before="180" w:after="240"/>
      <w:jc w:val="center"/>
    </w:pPr>
    <w:rPr>
      <w:b/>
      <w:szCs w:val="22"/>
    </w:rPr>
  </w:style>
  <w:style w:type="paragraph" w:customStyle="1" w:styleId="Typeacteprincipal">
    <w:name w:val="Type acte principal"/>
    <w:basedOn w:val="Normalny"/>
    <w:next w:val="Objetacteprincipal"/>
    <w:pPr>
      <w:spacing w:before="0" w:after="240"/>
      <w:jc w:val="center"/>
    </w:pPr>
    <w:rPr>
      <w:b/>
      <w:szCs w:val="22"/>
    </w:rPr>
  </w:style>
  <w:style w:type="paragraph" w:customStyle="1" w:styleId="Objetacteprincipal">
    <w:name w:val="Objet acte principal"/>
    <w:basedOn w:val="Normalny"/>
    <w:next w:val="Titrearticle"/>
    <w:pPr>
      <w:spacing w:before="0" w:after="360"/>
      <w:jc w:val="center"/>
    </w:pPr>
    <w:rPr>
      <w:b/>
      <w:szCs w:val="22"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ny"/>
    <w:next w:val="Normalny"/>
    <w:pPr>
      <w:spacing w:before="360" w:after="0"/>
      <w:jc w:val="center"/>
    </w:pPr>
    <w:rPr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0" w:after="240"/>
    </w:pPr>
    <w:rPr>
      <w:rFonts w:eastAsia="Times New Roman"/>
      <w:i/>
      <w:iCs/>
      <w:color w:val="000000"/>
    </w:rPr>
  </w:style>
  <w:style w:type="character" w:customStyle="1" w:styleId="CytatZnak">
    <w:name w:val="Cytat Znak"/>
    <w:basedOn w:val="Domylnaczcionkaakapitu"/>
    <w:link w:val="Cytat"/>
    <w:uiPriority w:val="29"/>
    <w:rPr>
      <w:rFonts w:ascii="Times New Roman" w:eastAsia="Times New Roman" w:hAnsi="Times New Roman" w:cs="Times New Roman"/>
      <w:i/>
      <w:iCs/>
      <w:color w:val="000000"/>
      <w:sz w:val="24"/>
      <w:szCs w:val="20"/>
      <w:lang w:eastAsia="pl-PL"/>
    </w:rPr>
  </w:style>
  <w:style w:type="paragraph" w:customStyle="1" w:styleId="Declassification">
    <w:name w:val="Declassification"/>
    <w:basedOn w:val="Normalny"/>
    <w:next w:val="Normalny"/>
    <w:pPr>
      <w:spacing w:before="0" w:after="0"/>
    </w:pPr>
    <w:rPr>
      <w:rFonts w:eastAsiaTheme="minorHAnsi"/>
      <w:szCs w:val="22"/>
    </w:rPr>
  </w:style>
  <w:style w:type="paragraph" w:customStyle="1" w:styleId="ZCom">
    <w:name w:val="Z_Com"/>
    <w:basedOn w:val="Normalny"/>
    <w:next w:val="ZDGName"/>
    <w:uiPriority w:val="99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table" w:customStyle="1" w:styleId="TableGrid1">
    <w:name w:val="Table Grid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E316D-F604-47C2-BF2B-B73217F38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1930</Words>
  <Characters>13041</Characters>
  <Application>Microsoft Office Word</Application>
  <DocSecurity>0</DocSecurity>
  <Lines>108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MEIJER Martine (ECFIN)</dc:creator>
  <cp:lastModifiedBy>Buła-Kopańska Agnieszka</cp:lastModifiedBy>
  <cp:revision>3</cp:revision>
  <cp:lastPrinted>2020-05-12T12:46:00Z</cp:lastPrinted>
  <dcterms:created xsi:type="dcterms:W3CDTF">2020-07-02T13:44:00Z</dcterms:created>
  <dcterms:modified xsi:type="dcterms:W3CDTF">2020-07-23T12:28:00Z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22</vt:lpwstr>
  </property>
  <property fmtid="{D5CDD505-2E9C-101B-9397-08002B2CF9AE}" pid="5" name="Unique annex">
    <vt:lpwstr>0</vt:lpwstr>
  </property>
  <property fmtid="{D5CDD505-2E9C-101B-9397-08002B2CF9AE}" pid="6" name="Part">
    <vt:lpwstr>&lt;UNUSED&gt;</vt:lpwstr>
  </property>
  <property fmtid="{D5CDD505-2E9C-101B-9397-08002B2CF9AE}" pid="7" name="Total parts">
    <vt:lpwstr>&lt;UNUSED&gt;</vt:lpwstr>
  </property>
  <property fmtid="{D5CDD505-2E9C-101B-9397-08002B2CF9AE}" pid="8" name="DocStatus">
    <vt:lpwstr>Green</vt:lpwstr>
  </property>
</Properties>
</file>